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rFonts w:eastAsiaTheme="minorEastAsia"/>
          <w:sz w:val="60"/>
          <w:szCs w:val="60"/>
        </w:rPr>
      </w:pPr>
    </w:p>
    <w:p>
      <w:pPr>
        <w:jc w:val="center"/>
        <w:rPr>
          <w:rFonts w:eastAsiaTheme="minorEastAsia"/>
          <w:b/>
          <w:bCs/>
          <w:sz w:val="60"/>
          <w:szCs w:val="60"/>
        </w:rPr>
      </w:pPr>
      <w:r>
        <w:rPr>
          <w:rFonts w:hint="eastAsia" w:eastAsiaTheme="minorEastAsia"/>
          <w:b/>
          <w:bCs/>
          <w:sz w:val="60"/>
          <w:szCs w:val="60"/>
        </w:rPr>
        <w:t>地球物理调查中心</w:t>
      </w:r>
      <w:r>
        <w:rPr>
          <w:rFonts w:hint="eastAsia" w:eastAsiaTheme="minorEastAsia"/>
          <w:b/>
          <w:bCs/>
          <w:sz w:val="60"/>
          <w:szCs w:val="60"/>
          <w:lang w:val="en-US" w:eastAsia="zh-CN"/>
        </w:rPr>
        <w:t>屏蔽线</w:t>
      </w:r>
      <w:r>
        <w:rPr>
          <w:rFonts w:eastAsiaTheme="minorEastAsia"/>
          <w:b/>
          <w:bCs/>
          <w:sz w:val="60"/>
          <w:szCs w:val="60"/>
        </w:rPr>
        <w:t>采购</w:t>
      </w:r>
    </w:p>
    <w:p>
      <w:pPr>
        <w:jc w:val="center"/>
        <w:rPr>
          <w:rFonts w:eastAsiaTheme="minorEastAsia"/>
          <w:b/>
          <w:bCs/>
          <w:sz w:val="60"/>
          <w:szCs w:val="60"/>
        </w:rPr>
      </w:pPr>
      <w:r>
        <w:rPr>
          <w:rFonts w:eastAsiaTheme="minorEastAsia"/>
          <w:b/>
          <w:bCs/>
          <w:sz w:val="60"/>
          <w:szCs w:val="60"/>
        </w:rPr>
        <w:t>项目询价</w:t>
      </w:r>
      <w:r>
        <w:rPr>
          <w:rFonts w:hint="eastAsia" w:eastAsiaTheme="minorEastAsia"/>
          <w:b/>
          <w:bCs/>
          <w:sz w:val="60"/>
          <w:szCs w:val="60"/>
        </w:rPr>
        <w:t>通知单</w:t>
      </w:r>
    </w:p>
    <w:p>
      <w:pPr>
        <w:jc w:val="center"/>
        <w:rPr>
          <w:rFonts w:eastAsiaTheme="minorEastAsia"/>
          <w:b/>
          <w:bCs/>
          <w:sz w:val="60"/>
          <w:szCs w:val="60"/>
        </w:rPr>
      </w:pPr>
    </w:p>
    <w:p>
      <w:pPr>
        <w:spacing w:line="360" w:lineRule="auto"/>
        <w:jc w:val="center"/>
        <w:rPr>
          <w:rFonts w:eastAsiaTheme="minorEastAsia"/>
          <w:sz w:val="60"/>
          <w:szCs w:val="60"/>
          <w:highlight w:val="none"/>
        </w:rPr>
      </w:pPr>
    </w:p>
    <w:p>
      <w:pPr>
        <w:tabs>
          <w:tab w:val="left" w:pos="3240"/>
          <w:tab w:val="left" w:pos="3420"/>
        </w:tabs>
        <w:spacing w:line="360" w:lineRule="auto"/>
        <w:ind w:left="2832" w:leftChars="444" w:hanging="1900" w:hangingChars="528"/>
        <w:jc w:val="left"/>
        <w:rPr>
          <w:rFonts w:eastAsiaTheme="minorEastAsia"/>
          <w:bCs/>
          <w:sz w:val="36"/>
          <w:szCs w:val="36"/>
          <w:u w:val="single"/>
        </w:rPr>
      </w:pPr>
      <w:r>
        <w:rPr>
          <w:rFonts w:eastAsiaTheme="minorEastAsia"/>
          <w:bCs/>
          <w:sz w:val="36"/>
          <w:szCs w:val="36"/>
          <w:highlight w:val="none"/>
        </w:rPr>
        <w:t>项目名称</w:t>
      </w:r>
      <w:r>
        <w:rPr>
          <w:rFonts w:hint="eastAsia" w:eastAsiaTheme="minorEastAsia"/>
          <w:bCs/>
          <w:sz w:val="36"/>
          <w:szCs w:val="36"/>
          <w:highlight w:val="none"/>
        </w:rPr>
        <w:t>：</w:t>
      </w:r>
      <w:r>
        <w:rPr>
          <w:rFonts w:hint="eastAsia" w:eastAsiaTheme="minorEastAsia"/>
          <w:bCs/>
          <w:sz w:val="36"/>
          <w:szCs w:val="36"/>
          <w:highlight w:val="none"/>
          <w:u w:val="single"/>
        </w:rPr>
        <w:t>地球物理调查中心</w:t>
      </w:r>
      <w:r>
        <w:rPr>
          <w:rFonts w:hint="eastAsia" w:eastAsiaTheme="minorEastAsia"/>
          <w:bCs/>
          <w:color w:val="auto"/>
          <w:sz w:val="36"/>
          <w:szCs w:val="36"/>
          <w:highlight w:val="none"/>
          <w:u w:val="single"/>
          <w:lang w:val="en-US" w:eastAsia="zh-CN"/>
        </w:rPr>
        <w:t>屏蔽线</w:t>
      </w:r>
      <w:r>
        <w:rPr>
          <w:rFonts w:hint="eastAsia" w:eastAsiaTheme="minorEastAsia"/>
          <w:bCs/>
          <w:sz w:val="36"/>
          <w:szCs w:val="36"/>
          <w:u w:val="single"/>
        </w:rPr>
        <w:t>采购项目</w:t>
      </w:r>
    </w:p>
    <w:p>
      <w:pPr>
        <w:tabs>
          <w:tab w:val="left" w:pos="3240"/>
          <w:tab w:val="left" w:pos="3420"/>
        </w:tabs>
        <w:spacing w:line="360" w:lineRule="auto"/>
        <w:ind w:left="2832" w:leftChars="444" w:hanging="1900" w:hangingChars="528"/>
        <w:jc w:val="left"/>
        <w:rPr>
          <w:rFonts w:hint="eastAsia" w:eastAsiaTheme="minorEastAsia"/>
          <w:bCs/>
          <w:sz w:val="36"/>
          <w:szCs w:val="36"/>
          <w:lang w:eastAsia="zh-CN"/>
        </w:rPr>
      </w:pPr>
      <w:r>
        <w:rPr>
          <w:rFonts w:eastAsiaTheme="minorEastAsia"/>
          <w:bCs/>
          <w:sz w:val="36"/>
          <w:szCs w:val="36"/>
        </w:rPr>
        <w:t>项目编号：</w:t>
      </w:r>
      <w:r>
        <w:rPr>
          <w:sz w:val="24"/>
          <w:u w:val="single"/>
        </w:rPr>
        <w:t xml:space="preserve"> </w:t>
      </w:r>
      <w:r>
        <w:rPr>
          <w:rFonts w:eastAsiaTheme="minorEastAsia"/>
          <w:bCs/>
          <w:sz w:val="36"/>
          <w:szCs w:val="36"/>
          <w:u w:val="single"/>
        </w:rPr>
        <w:t>DQWL-H-202</w:t>
      </w:r>
      <w:r>
        <w:rPr>
          <w:rFonts w:hint="eastAsia" w:eastAsiaTheme="minorEastAsia"/>
          <w:bCs/>
          <w:sz w:val="36"/>
          <w:szCs w:val="36"/>
          <w:u w:val="single"/>
          <w:lang w:val="en-US" w:eastAsia="zh-CN"/>
        </w:rPr>
        <w:t>3</w:t>
      </w:r>
      <w:r>
        <w:rPr>
          <w:rFonts w:eastAsiaTheme="minorEastAsia"/>
          <w:bCs/>
          <w:sz w:val="36"/>
          <w:szCs w:val="36"/>
          <w:u w:val="single"/>
        </w:rPr>
        <w:t>0</w:t>
      </w:r>
      <w:r>
        <w:rPr>
          <w:rFonts w:hint="eastAsia" w:eastAsiaTheme="minorEastAsia"/>
          <w:bCs/>
          <w:sz w:val="36"/>
          <w:szCs w:val="36"/>
          <w:u w:val="single"/>
          <w:lang w:val="en-US" w:eastAsia="zh-CN"/>
        </w:rPr>
        <w:t>2</w:t>
      </w:r>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0" w:leftChars="0" w:firstLine="900" w:firstLineChars="250"/>
        <w:jc w:val="left"/>
        <w:textAlignment w:val="auto"/>
        <w:rPr>
          <w:rFonts w:eastAsiaTheme="minorEastAsia"/>
          <w:bCs/>
          <w:sz w:val="36"/>
          <w:szCs w:val="36"/>
        </w:rPr>
      </w:pPr>
      <w:r>
        <w:rPr>
          <w:rFonts w:eastAsiaTheme="minorEastAsia"/>
          <w:bCs/>
          <w:sz w:val="36"/>
          <w:szCs w:val="36"/>
        </w:rPr>
        <w:t>采 购 人：</w:t>
      </w:r>
      <w:r>
        <w:rPr>
          <w:rFonts w:hint="eastAsia" w:eastAsiaTheme="minorEastAsia"/>
          <w:bCs/>
          <w:sz w:val="36"/>
          <w:szCs w:val="36"/>
        </w:rPr>
        <w:t>中国地质调查局地球物理调查中心</w:t>
      </w:r>
    </w:p>
    <w:p>
      <w:pPr>
        <w:widowControl/>
        <w:jc w:val="left"/>
        <w:sectPr>
          <w:type w:val="nextColumn"/>
          <w:pgSz w:w="11906" w:h="16838"/>
          <w:pgMar w:top="1911" w:right="1474" w:bottom="1882" w:left="1587" w:header="851" w:footer="992" w:gutter="0"/>
          <w:cols w:space="425" w:num="1"/>
          <w:docGrid w:type="lines" w:linePitch="312" w:charSpace="0"/>
        </w:sectPr>
      </w:pPr>
      <w:bookmarkStart w:id="0" w:name="_Toc74227630"/>
    </w:p>
    <w:bookmarkEnd w:id="0"/>
    <w:p>
      <w:pPr>
        <w:spacing w:line="360" w:lineRule="auto"/>
        <w:jc w:val="center"/>
        <w:outlineLvl w:val="0"/>
        <w:rPr>
          <w:rFonts w:eastAsiaTheme="minorEastAsia"/>
          <w:b/>
          <w:sz w:val="36"/>
          <w:szCs w:val="36"/>
        </w:rPr>
      </w:pPr>
      <w:bookmarkStart w:id="1" w:name="_Toc99301344"/>
      <w:r>
        <w:rPr>
          <w:rFonts w:hint="eastAsia" w:eastAsiaTheme="minorEastAsia"/>
          <w:b/>
          <w:sz w:val="36"/>
          <w:szCs w:val="36"/>
        </w:rPr>
        <w:t>目</w:t>
      </w:r>
      <w:r>
        <w:rPr>
          <w:rFonts w:eastAsiaTheme="minorEastAsia"/>
          <w:b/>
          <w:sz w:val="36"/>
          <w:szCs w:val="36"/>
        </w:rPr>
        <w:t xml:space="preserve">      </w:t>
      </w:r>
      <w:r>
        <w:rPr>
          <w:rFonts w:hint="eastAsia" w:eastAsiaTheme="minorEastAsia"/>
          <w:b/>
          <w:sz w:val="36"/>
          <w:szCs w:val="36"/>
        </w:rPr>
        <w:t>录</w:t>
      </w:r>
      <w:bookmarkEnd w:id="1"/>
    </w:p>
    <w:p>
      <w:pPr>
        <w:rPr>
          <w:rFonts w:eastAsiaTheme="minorEastAsia"/>
        </w:rPr>
      </w:pPr>
    </w:p>
    <w:p>
      <w:pPr>
        <w:rPr>
          <w:rFonts w:eastAsiaTheme="minorEastAsia"/>
        </w:rPr>
      </w:pPr>
    </w:p>
    <w:p>
      <w:pPr>
        <w:rPr>
          <w:rFonts w:eastAsiaTheme="minorEastAsia"/>
        </w:rPr>
      </w:pPr>
    </w:p>
    <w:p>
      <w:pPr>
        <w:pStyle w:val="35"/>
        <w:rPr>
          <w:rFonts w:asciiTheme="minorHAnsi" w:hAnsiTheme="minorHAnsi" w:eastAsiaTheme="minorEastAsia" w:cstheme="minorBidi"/>
          <w:b w:val="0"/>
          <w:sz w:val="21"/>
          <w:szCs w:val="22"/>
        </w:rPr>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p>
    <w:p>
      <w:pPr>
        <w:pStyle w:val="35"/>
        <w:spacing w:line="360" w:lineRule="auto"/>
        <w:rPr>
          <w:rFonts w:ascii="Times New Roman" w:hAnsi="Times New Roman" w:eastAsiaTheme="minorEastAsia"/>
          <w:b w:val="0"/>
          <w:sz w:val="21"/>
          <w:szCs w:val="22"/>
        </w:rPr>
      </w:pPr>
      <w:r>
        <w:fldChar w:fldCharType="begin"/>
      </w:r>
      <w:r>
        <w:instrText xml:space="preserve"> HYPERLINK \l "_Toc99301345" </w:instrText>
      </w:r>
      <w:r>
        <w:fldChar w:fldCharType="separate"/>
      </w:r>
      <w:r>
        <w:rPr>
          <w:rStyle w:val="55"/>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_Toc99301345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35"/>
        <w:spacing w:line="360" w:lineRule="auto"/>
        <w:rPr>
          <w:rFonts w:ascii="Times New Roman" w:hAnsi="Times New Roman" w:eastAsiaTheme="minorEastAsia"/>
          <w:b w:val="0"/>
          <w:sz w:val="21"/>
          <w:szCs w:val="22"/>
        </w:rPr>
      </w:pPr>
      <w:r>
        <w:fldChar w:fldCharType="begin"/>
      </w:r>
      <w:r>
        <w:instrText xml:space="preserve"> HYPERLINK \l "_Toc99301346" </w:instrText>
      </w:r>
      <w:r>
        <w:fldChar w:fldCharType="separate"/>
      </w:r>
      <w:r>
        <w:rPr>
          <w:rStyle w:val="55"/>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_Toc99301346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5"/>
        <w:spacing w:line="360" w:lineRule="auto"/>
        <w:rPr>
          <w:rFonts w:ascii="Times New Roman" w:hAnsi="Times New Roman" w:eastAsiaTheme="minorEastAsia"/>
          <w:b w:val="0"/>
          <w:sz w:val="21"/>
          <w:szCs w:val="22"/>
        </w:rPr>
      </w:pPr>
      <w:r>
        <w:fldChar w:fldCharType="begin"/>
      </w:r>
      <w:r>
        <w:instrText xml:space="preserve"> HYPERLINK \l "_Toc99301347" </w:instrText>
      </w:r>
      <w:r>
        <w:fldChar w:fldCharType="separate"/>
      </w:r>
      <w:r>
        <w:rPr>
          <w:rStyle w:val="55"/>
          <w:rFonts w:ascii="Times New Roman" w:hAnsi="Times New Roman"/>
        </w:rPr>
        <w:t>第三章   评审程序和评定成交的标准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_Toc99301347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35"/>
        <w:spacing w:line="360" w:lineRule="auto"/>
        <w:rPr>
          <w:rFonts w:ascii="Times New Roman" w:hAnsi="Times New Roman" w:eastAsiaTheme="minorEastAsia"/>
          <w:b w:val="0"/>
          <w:sz w:val="21"/>
          <w:szCs w:val="22"/>
        </w:rPr>
      </w:pPr>
      <w:r>
        <w:fldChar w:fldCharType="begin"/>
      </w:r>
      <w:r>
        <w:instrText xml:space="preserve"> HYPERLINK \l "_Toc99301348" </w:instrText>
      </w:r>
      <w:r>
        <w:fldChar w:fldCharType="separate"/>
      </w:r>
      <w:r>
        <w:rPr>
          <w:rStyle w:val="55"/>
          <w:rFonts w:ascii="Times New Roman" w:hAnsi="Times New Roman"/>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_Toc99301348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pPr>
        <w:pStyle w:val="35"/>
        <w:spacing w:line="360" w:lineRule="auto"/>
        <w:rPr>
          <w:rFonts w:ascii="Times New Roman" w:hAnsi="Times New Roman" w:eastAsiaTheme="minorEastAsia"/>
          <w:b w:val="0"/>
          <w:sz w:val="21"/>
          <w:szCs w:val="22"/>
        </w:rPr>
      </w:pPr>
      <w:r>
        <w:fldChar w:fldCharType="begin"/>
      </w:r>
      <w:r>
        <w:instrText xml:space="preserve"> HYPERLINK \l "_Toc99301349" </w:instrText>
      </w:r>
      <w:r>
        <w:fldChar w:fldCharType="separate"/>
      </w:r>
      <w:r>
        <w:rPr>
          <w:rStyle w:val="55"/>
          <w:rFonts w:ascii="Times New Roman" w:hAnsi="Times New Roman"/>
        </w:rPr>
        <w:t>第五章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_Toc99301349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35"/>
        <w:spacing w:line="360" w:lineRule="auto"/>
        <w:rPr>
          <w:rFonts w:ascii="Times New Roman" w:hAnsi="Times New Roman" w:eastAsiaTheme="minorEastAsia"/>
          <w:b w:val="0"/>
          <w:sz w:val="21"/>
          <w:szCs w:val="22"/>
        </w:rPr>
      </w:pPr>
      <w:r>
        <w:fldChar w:fldCharType="begin"/>
      </w:r>
      <w:r>
        <w:instrText xml:space="preserve"> HYPERLINK \l "_Toc99301350" </w:instrText>
      </w:r>
      <w:r>
        <w:fldChar w:fldCharType="separate"/>
      </w:r>
      <w:r>
        <w:rPr>
          <w:rStyle w:val="55"/>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_Toc99301350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35"/>
        <w:spacing w:line="480" w:lineRule="auto"/>
        <w:rPr>
          <w:rFonts w:ascii="Times New Roman" w:hAnsi="Times New Roman" w:eastAsiaTheme="minorEastAsia"/>
          <w:b w:val="0"/>
        </w:rPr>
      </w:pPr>
      <w:r>
        <w:rPr>
          <w:rFonts w:ascii="Times New Roman" w:hAnsi="Times New Roman" w:eastAsiaTheme="minorEastAsia"/>
          <w:b w:val="0"/>
        </w:rPr>
        <w:fldChar w:fldCharType="end"/>
      </w:r>
    </w:p>
    <w:p>
      <w:pPr>
        <w:widowControl/>
        <w:jc w:val="left"/>
        <w:rPr>
          <w:rFonts w:eastAsiaTheme="minorEastAsia"/>
          <w:b/>
          <w:sz w:val="36"/>
          <w:szCs w:val="36"/>
        </w:rPr>
      </w:pPr>
      <w:r>
        <w:rPr>
          <w:rFonts w:eastAsiaTheme="minorEastAsia"/>
          <w:b/>
          <w:sz w:val="36"/>
          <w:szCs w:val="36"/>
        </w:rPr>
        <w:br w:type="page"/>
      </w:r>
    </w:p>
    <w:p>
      <w:pPr>
        <w:spacing w:line="360" w:lineRule="auto"/>
        <w:jc w:val="center"/>
        <w:outlineLvl w:val="0"/>
        <w:rPr>
          <w:rFonts w:eastAsiaTheme="minorEastAsia"/>
          <w:b/>
          <w:sz w:val="36"/>
          <w:szCs w:val="36"/>
        </w:rPr>
      </w:pPr>
      <w:bookmarkStart w:id="2" w:name="_Toc99301345"/>
      <w:r>
        <w:rPr>
          <w:rFonts w:eastAsiaTheme="minorEastAsia"/>
          <w:b/>
          <w:sz w:val="36"/>
          <w:szCs w:val="36"/>
        </w:rPr>
        <w:t>第一章   采购邀请</w:t>
      </w:r>
      <w:bookmarkEnd w:id="2"/>
    </w:p>
    <w:p>
      <w:pPr>
        <w:spacing w:line="360" w:lineRule="auto"/>
        <w:ind w:firstLine="480" w:firstLineChars="200"/>
        <w:rPr>
          <w:rFonts w:eastAsiaTheme="minorEastAsia"/>
          <w:sz w:val="24"/>
        </w:rPr>
      </w:pPr>
    </w:p>
    <w:p>
      <w:pPr>
        <w:pStyle w:val="8"/>
        <w:spacing w:before="0" w:line="360" w:lineRule="auto"/>
        <w:jc w:val="left"/>
        <w:rPr>
          <w:rFonts w:ascii="Times New Roman" w:hAnsi="Times New Roman" w:eastAsiaTheme="minorEastAsia"/>
          <w:sz w:val="24"/>
          <w:szCs w:val="24"/>
        </w:rPr>
      </w:pPr>
      <w:bookmarkStart w:id="3" w:name="_Toc28359079"/>
      <w:bookmarkStart w:id="4" w:name="_Toc35393621"/>
      <w:bookmarkStart w:id="5" w:name="_Toc28359002"/>
      <w:bookmarkStart w:id="6" w:name="_Toc35393790"/>
      <w:bookmarkStart w:id="7" w:name="_Hlk24379207"/>
      <w:r>
        <w:rPr>
          <w:rFonts w:ascii="Times New Roman" w:hAnsi="Times New Roman" w:eastAsiaTheme="minorEastAsia"/>
          <w:sz w:val="24"/>
          <w:szCs w:val="24"/>
        </w:rPr>
        <w:t>一、项目基本情况</w:t>
      </w:r>
      <w:bookmarkEnd w:id="3"/>
      <w:bookmarkEnd w:id="4"/>
      <w:bookmarkEnd w:id="5"/>
      <w:bookmarkEnd w:id="6"/>
    </w:p>
    <w:p>
      <w:pPr>
        <w:spacing w:line="360" w:lineRule="auto"/>
        <w:ind w:firstLine="480" w:firstLineChars="200"/>
        <w:rPr>
          <w:rFonts w:hint="default" w:eastAsia="宋体"/>
          <w:sz w:val="24"/>
          <w:lang w:val="en-US" w:eastAsia="zh-CN"/>
        </w:rPr>
      </w:pPr>
      <w:r>
        <w:rPr>
          <w:rFonts w:eastAsiaTheme="minorEastAsia"/>
          <w:sz w:val="24"/>
        </w:rPr>
        <w:t>1.项目编号/包号：</w:t>
      </w:r>
      <w:r>
        <w:rPr>
          <w:sz w:val="24"/>
          <w:u w:val="single"/>
        </w:rPr>
        <w:t xml:space="preserve"> DQWL</w:t>
      </w:r>
      <w:r>
        <w:rPr>
          <w:rFonts w:hint="eastAsia"/>
          <w:sz w:val="24"/>
          <w:u w:val="single"/>
        </w:rPr>
        <w:t>-</w:t>
      </w:r>
      <w:r>
        <w:rPr>
          <w:sz w:val="24"/>
          <w:u w:val="single"/>
        </w:rPr>
        <w:t>H</w:t>
      </w:r>
      <w:r>
        <w:rPr>
          <w:rFonts w:hint="eastAsia"/>
          <w:sz w:val="24"/>
          <w:u w:val="single"/>
        </w:rPr>
        <w:t>-</w:t>
      </w:r>
      <w:r>
        <w:rPr>
          <w:sz w:val="24"/>
          <w:u w:val="single"/>
        </w:rPr>
        <w:t>202</w:t>
      </w:r>
      <w:r>
        <w:rPr>
          <w:rFonts w:hint="eastAsia"/>
          <w:sz w:val="24"/>
          <w:u w:val="single"/>
          <w:lang w:val="en-US" w:eastAsia="zh-CN"/>
        </w:rPr>
        <w:t>302</w:t>
      </w:r>
    </w:p>
    <w:p>
      <w:pPr>
        <w:spacing w:line="360" w:lineRule="auto"/>
        <w:ind w:firstLine="480" w:firstLineChars="200"/>
        <w:rPr>
          <w:rFonts w:eastAsiaTheme="minorEastAsia"/>
          <w:sz w:val="24"/>
        </w:rPr>
      </w:pPr>
      <w:r>
        <w:rPr>
          <w:rFonts w:eastAsiaTheme="minorEastAsia"/>
          <w:sz w:val="24"/>
        </w:rPr>
        <w:t>2.项目名称：</w:t>
      </w:r>
      <w:r>
        <w:rPr>
          <w:rFonts w:eastAsiaTheme="minorEastAsia"/>
          <w:sz w:val="24"/>
          <w:u w:val="single"/>
        </w:rPr>
        <w:t xml:space="preserve">  </w:t>
      </w:r>
      <w:r>
        <w:rPr>
          <w:rFonts w:hint="eastAsia" w:eastAsiaTheme="minorEastAsia"/>
          <w:sz w:val="24"/>
          <w:u w:val="single"/>
        </w:rPr>
        <w:t>地球物理调查中心</w:t>
      </w:r>
      <w:r>
        <w:rPr>
          <w:rFonts w:hint="eastAsia" w:eastAsiaTheme="minorEastAsia"/>
          <w:sz w:val="24"/>
          <w:u w:val="single"/>
          <w:lang w:val="en-US" w:eastAsia="zh-CN"/>
        </w:rPr>
        <w:t>屏蔽线</w:t>
      </w:r>
      <w:r>
        <w:rPr>
          <w:rFonts w:hint="eastAsia" w:eastAsiaTheme="minorEastAsia"/>
          <w:sz w:val="24"/>
          <w:u w:val="single"/>
        </w:rPr>
        <w:t>采购项目</w:t>
      </w:r>
    </w:p>
    <w:p>
      <w:pPr>
        <w:spacing w:line="360" w:lineRule="auto"/>
        <w:ind w:firstLine="480" w:firstLineChars="200"/>
        <w:rPr>
          <w:rFonts w:eastAsiaTheme="minorEastAsia"/>
          <w:sz w:val="24"/>
        </w:rPr>
      </w:pPr>
      <w:r>
        <w:rPr>
          <w:rFonts w:eastAsiaTheme="minorEastAsia"/>
          <w:sz w:val="24"/>
        </w:rPr>
        <w:t>3.采购方式：</w:t>
      </w:r>
      <w:r>
        <w:rPr>
          <w:rFonts w:hint="eastAsia" w:eastAsiaTheme="minorEastAsia"/>
          <w:sz w:val="24"/>
          <w:u w:val="single"/>
        </w:rPr>
        <w:t>公开</w:t>
      </w:r>
      <w:r>
        <w:rPr>
          <w:rFonts w:eastAsiaTheme="minorEastAsia"/>
          <w:sz w:val="24"/>
          <w:u w:val="single"/>
        </w:rPr>
        <w:t>询价</w:t>
      </w:r>
    </w:p>
    <w:bookmarkEnd w:id="7"/>
    <w:p>
      <w:pPr>
        <w:spacing w:line="360" w:lineRule="auto"/>
        <w:ind w:firstLine="480" w:firstLineChars="200"/>
        <w:rPr>
          <w:rFonts w:eastAsiaTheme="minorEastAsia"/>
          <w:sz w:val="24"/>
        </w:rPr>
      </w:pPr>
      <w:r>
        <w:rPr>
          <w:rFonts w:eastAsiaTheme="minorEastAsia"/>
          <w:sz w:val="24"/>
        </w:rPr>
        <w:t>4.项目预算金额：</w:t>
      </w:r>
      <w:r>
        <w:rPr>
          <w:rFonts w:hint="eastAsia" w:eastAsiaTheme="minorEastAsia"/>
          <w:sz w:val="24"/>
          <w:u w:val="single"/>
          <w:lang w:val="en-US" w:eastAsia="zh-CN"/>
        </w:rPr>
        <w:t>8.015</w:t>
      </w:r>
      <w:r>
        <w:rPr>
          <w:rFonts w:eastAsiaTheme="minorEastAsia"/>
          <w:sz w:val="24"/>
        </w:rPr>
        <w:t>万元、项目最高限价：</w:t>
      </w:r>
      <w:r>
        <w:rPr>
          <w:rFonts w:hint="eastAsia" w:eastAsiaTheme="minorEastAsia"/>
          <w:sz w:val="24"/>
          <w:u w:val="single"/>
          <w:lang w:val="en-US" w:eastAsia="zh-CN"/>
        </w:rPr>
        <w:t>8.015</w:t>
      </w:r>
      <w:r>
        <w:rPr>
          <w:rFonts w:eastAsiaTheme="minorEastAsia"/>
          <w:sz w:val="24"/>
        </w:rPr>
        <w:t>万元</w:t>
      </w:r>
    </w:p>
    <w:p>
      <w:pPr>
        <w:spacing w:line="360" w:lineRule="auto"/>
        <w:ind w:firstLine="480" w:firstLineChars="200"/>
        <w:rPr>
          <w:rFonts w:hint="default" w:eastAsiaTheme="minorEastAsia"/>
          <w:color w:val="auto"/>
          <w:sz w:val="24"/>
          <w:highlight w:val="none"/>
          <w:lang w:val="en-US" w:eastAsia="zh-CN"/>
        </w:rPr>
      </w:pPr>
      <w:r>
        <w:rPr>
          <w:rFonts w:eastAsiaTheme="minorEastAsia"/>
          <w:color w:val="auto"/>
          <w:sz w:val="24"/>
          <w:highlight w:val="none"/>
        </w:rPr>
        <w:t>5.采购需求：</w:t>
      </w:r>
      <w:r>
        <w:rPr>
          <w:rFonts w:hint="eastAsia" w:eastAsiaTheme="minorEastAsia"/>
          <w:color w:val="auto"/>
          <w:sz w:val="24"/>
          <w:highlight w:val="none"/>
          <w:lang w:val="en-US" w:eastAsia="zh-CN"/>
        </w:rPr>
        <w:t>共分为1包</w:t>
      </w:r>
    </w:p>
    <w:tbl>
      <w:tblPr>
        <w:tblStyle w:val="47"/>
        <w:tblpPr w:leftFromText="180" w:rightFromText="180" w:vertAnchor="text" w:horzAnchor="page" w:tblpX="2155" w:tblpY="477"/>
        <w:tblOverlap w:val="never"/>
        <w:tblW w:w="8378" w:type="dxa"/>
        <w:tblInd w:w="0" w:type="dxa"/>
        <w:tblLayout w:type="fixed"/>
        <w:tblCellMar>
          <w:top w:w="0" w:type="dxa"/>
          <w:left w:w="108" w:type="dxa"/>
          <w:bottom w:w="0" w:type="dxa"/>
          <w:right w:w="108" w:type="dxa"/>
        </w:tblCellMar>
      </w:tblPr>
      <w:tblGrid>
        <w:gridCol w:w="783"/>
        <w:gridCol w:w="1490"/>
        <w:gridCol w:w="1110"/>
        <w:gridCol w:w="4995"/>
      </w:tblGrid>
      <w:tr>
        <w:tblPrEx>
          <w:tblCellMar>
            <w:top w:w="0" w:type="dxa"/>
            <w:left w:w="108" w:type="dxa"/>
            <w:bottom w:w="0" w:type="dxa"/>
            <w:right w:w="108" w:type="dxa"/>
          </w:tblCellMar>
        </w:tblPrEx>
        <w:trPr>
          <w:trHeight w:val="5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bookmarkStart w:id="8" w:name="OLE_LINK1"/>
            <w:r>
              <w:rPr>
                <w:rFonts w:hint="eastAsia" w:ascii="宋体" w:hAnsi="宋体" w:eastAsia="宋体" w:cs="宋体"/>
                <w:sz w:val="24"/>
                <w:szCs w:val="24"/>
              </w:rPr>
              <w:t>序号</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货物</w:t>
            </w:r>
            <w:r>
              <w:rPr>
                <w:rFonts w:hint="eastAsia" w:ascii="宋体" w:hAnsi="宋体" w:eastAsia="宋体" w:cs="宋体"/>
                <w:sz w:val="24"/>
                <w:szCs w:val="24"/>
              </w:rPr>
              <w:t>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技术参数</w:t>
            </w:r>
          </w:p>
        </w:tc>
      </w:tr>
      <w:tr>
        <w:tblPrEx>
          <w:tblCellMar>
            <w:top w:w="0" w:type="dxa"/>
            <w:left w:w="108" w:type="dxa"/>
            <w:bottom w:w="0" w:type="dxa"/>
            <w:right w:w="108" w:type="dxa"/>
          </w:tblCellMar>
        </w:tblPrEx>
        <w:trPr>
          <w:trHeight w:val="1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屏蔽线</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11450</w:t>
            </w:r>
            <w:r>
              <w:rPr>
                <w:rFonts w:hint="eastAsia" w:ascii="宋体" w:hAnsi="宋体" w:eastAsia="宋体" w:cs="宋体"/>
                <w:sz w:val="24"/>
                <w:szCs w:val="24"/>
              </w:rPr>
              <w:t>米</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rPr>
              <w:t>①19/0.16PL</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9，绞合铜丝数量/0.16，单根铜丝直径; P屏蔽;</w:t>
            </w:r>
            <w:r>
              <w:rPr>
                <w:rFonts w:hint="eastAsia" w:ascii="宋体" w:hAnsi="宋体" w:eastAsia="宋体" w:cs="宋体"/>
                <w:sz w:val="24"/>
                <w:szCs w:val="24"/>
                <w:lang w:val="en-US" w:eastAsia="zh-CN"/>
              </w:rPr>
              <w:t>L抗拉</w:t>
            </w:r>
            <w:r>
              <w:rPr>
                <w:rFonts w:hint="eastAsia" w:ascii="宋体" w:hAnsi="宋体" w:eastAsia="宋体" w:cs="宋体"/>
                <w:sz w:val="24"/>
                <w:szCs w:val="24"/>
                <w:lang w:eastAsia="zh-CN"/>
              </w:rPr>
              <w:t>）</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②物探专用线非GB;</w:t>
            </w:r>
          </w:p>
          <w:p>
            <w:pPr>
              <w:rPr>
                <w:rFonts w:hint="eastAsia" w:ascii="宋体" w:hAnsi="宋体" w:eastAsia="宋体" w:cs="宋体"/>
                <w:sz w:val="24"/>
                <w:szCs w:val="24"/>
              </w:rPr>
            </w:pPr>
            <w:r>
              <w:rPr>
                <w:rFonts w:hint="eastAsia" w:ascii="宋体" w:hAnsi="宋体" w:eastAsia="宋体" w:cs="宋体"/>
                <w:sz w:val="24"/>
                <w:szCs w:val="24"/>
              </w:rPr>
              <w:t>③内导体0.4平方，屏蔽层编织密度85%以上</w:t>
            </w:r>
            <w:r>
              <w:rPr>
                <w:rFonts w:hint="eastAsia" w:ascii="宋体" w:hAnsi="宋体" w:eastAsia="宋体" w:cs="宋体"/>
                <w:sz w:val="24"/>
                <w:szCs w:val="24"/>
                <w:lang w:eastAsia="zh-CN"/>
              </w:rPr>
              <w:t>，</w:t>
            </w:r>
            <w:r>
              <w:rPr>
                <w:rFonts w:hint="eastAsia" w:ascii="宋体" w:hAnsi="宋体" w:eastAsia="宋体" w:cs="宋体"/>
                <w:sz w:val="24"/>
                <w:szCs w:val="24"/>
              </w:rPr>
              <w:t>PU护套破断力大于4KN。</w:t>
            </w:r>
          </w:p>
        </w:tc>
      </w:tr>
      <w:bookmarkEnd w:id="8"/>
    </w:tbl>
    <w:p>
      <w:pPr>
        <w:spacing w:line="360" w:lineRule="auto"/>
        <w:ind w:firstLine="480" w:firstLineChars="200"/>
        <w:rPr>
          <w:rFonts w:eastAsiaTheme="minorEastAsia"/>
          <w:sz w:val="24"/>
        </w:rPr>
      </w:pPr>
    </w:p>
    <w:p>
      <w:pPr>
        <w:spacing w:line="360" w:lineRule="auto"/>
        <w:ind w:firstLine="480" w:firstLineChars="200"/>
        <w:rPr>
          <w:rFonts w:eastAsiaTheme="minorEastAsia"/>
          <w:sz w:val="24"/>
          <w:u w:val="single"/>
        </w:rPr>
      </w:pPr>
      <w:r>
        <w:rPr>
          <w:rFonts w:eastAsiaTheme="minorEastAsia"/>
          <w:sz w:val="24"/>
        </w:rPr>
        <w:t>6.合同履行期限：</w:t>
      </w:r>
      <w:r>
        <w:rPr>
          <w:rFonts w:hint="eastAsia"/>
          <w:sz w:val="24"/>
          <w:u w:val="single"/>
        </w:rPr>
        <w:t>合同签订后</w:t>
      </w:r>
      <w:r>
        <w:rPr>
          <w:sz w:val="24"/>
          <w:u w:val="single"/>
        </w:rPr>
        <w:t>1</w:t>
      </w:r>
      <w:r>
        <w:rPr>
          <w:rFonts w:hint="eastAsia"/>
          <w:sz w:val="24"/>
          <w:u w:val="single"/>
        </w:rPr>
        <w:t>5天内交货完成并具备验收条件。</w:t>
      </w:r>
    </w:p>
    <w:p>
      <w:pPr>
        <w:spacing w:line="360" w:lineRule="auto"/>
        <w:ind w:firstLine="480" w:firstLineChars="200"/>
        <w:rPr>
          <w:rFonts w:eastAsiaTheme="minorEastAsia"/>
          <w:sz w:val="24"/>
        </w:rPr>
      </w:pPr>
      <w:r>
        <w:rPr>
          <w:rFonts w:eastAsiaTheme="minorEastAsia"/>
          <w:sz w:val="24"/>
        </w:rPr>
        <w:t>7.本项目是否接受联合体响应：否。</w:t>
      </w:r>
    </w:p>
    <w:p>
      <w:pPr>
        <w:pStyle w:val="8"/>
        <w:spacing w:before="0" w:line="360" w:lineRule="auto"/>
        <w:jc w:val="left"/>
        <w:rPr>
          <w:rFonts w:ascii="Times New Roman" w:hAnsi="Times New Roman" w:eastAsiaTheme="minorEastAsia"/>
          <w:sz w:val="24"/>
          <w:szCs w:val="24"/>
        </w:rPr>
      </w:pPr>
      <w:bookmarkStart w:id="9" w:name="_Toc28359080"/>
      <w:bookmarkStart w:id="10" w:name="_Toc35393791"/>
      <w:bookmarkStart w:id="11" w:name="_Toc28359003"/>
      <w:bookmarkStart w:id="12" w:name="_Toc35393622"/>
      <w:r>
        <w:rPr>
          <w:rFonts w:ascii="Times New Roman" w:hAnsi="Times New Roman" w:eastAsiaTheme="minorEastAsia"/>
          <w:sz w:val="24"/>
          <w:szCs w:val="24"/>
        </w:rPr>
        <w:t>二、申请人的资格要求（须同时满足）</w:t>
      </w:r>
      <w:bookmarkEnd w:id="9"/>
      <w:bookmarkEnd w:id="10"/>
      <w:bookmarkEnd w:id="11"/>
      <w:bookmarkEnd w:id="12"/>
    </w:p>
    <w:p>
      <w:pPr>
        <w:spacing w:line="360" w:lineRule="auto"/>
        <w:ind w:firstLine="480" w:firstLineChars="200"/>
        <w:rPr>
          <w:rFonts w:eastAsiaTheme="minorEastAsia"/>
          <w:sz w:val="24"/>
        </w:rPr>
      </w:pPr>
      <w:r>
        <w:rPr>
          <w:rFonts w:eastAsiaTheme="minorEastAsia"/>
          <w:sz w:val="24"/>
        </w:rPr>
        <w:t>1.满足《中华人民共和国政府采购法》第二十二条规定；</w:t>
      </w:r>
    </w:p>
    <w:p>
      <w:pPr>
        <w:spacing w:line="360" w:lineRule="auto"/>
        <w:ind w:firstLine="480" w:firstLineChars="200"/>
        <w:rPr>
          <w:rFonts w:eastAsiaTheme="minorEastAsia"/>
          <w:sz w:val="24"/>
        </w:rPr>
      </w:pPr>
      <w:bookmarkStart w:id="13" w:name="_Toc28359081"/>
      <w:bookmarkStart w:id="14" w:name="_Toc28359004"/>
      <w:r>
        <w:rPr>
          <w:rFonts w:eastAsiaTheme="minorEastAsia"/>
          <w:sz w:val="24"/>
        </w:rPr>
        <w:t>2.落实政府采购政策需满足的资格要求：</w:t>
      </w:r>
      <w:r>
        <w:rPr>
          <w:rFonts w:hint="eastAsia" w:eastAsiaTheme="minorEastAsia"/>
          <w:sz w:val="24"/>
        </w:rPr>
        <w:t>对小微企业的产品给予价格扣除（监狱企业、残疾人福利性单位视同小微企业；残疾人福利性单位属于小型、微型企业的，不重复享受政策。）</w:t>
      </w:r>
    </w:p>
    <w:p>
      <w:pPr>
        <w:spacing w:line="360" w:lineRule="auto"/>
        <w:ind w:firstLine="480" w:firstLineChars="200"/>
        <w:rPr>
          <w:rFonts w:eastAsiaTheme="minorEastAsia"/>
          <w:i/>
          <w:iCs/>
          <w:sz w:val="24"/>
          <w:u w:val="single"/>
        </w:rPr>
      </w:pPr>
      <w:r>
        <w:rPr>
          <w:rFonts w:eastAsiaTheme="minorEastAsia"/>
          <w:sz w:val="24"/>
        </w:rPr>
        <w:t>3.本项目的特定资格要求：</w:t>
      </w:r>
      <w:r>
        <w:rPr>
          <w:rFonts w:hint="eastAsia" w:eastAsiaTheme="minorEastAsia"/>
          <w:sz w:val="24"/>
        </w:rPr>
        <w:t>无</w:t>
      </w:r>
    </w:p>
    <w:bookmarkEnd w:id="13"/>
    <w:bookmarkEnd w:id="14"/>
    <w:p>
      <w:pPr>
        <w:pStyle w:val="8"/>
        <w:widowControl/>
        <w:spacing w:before="0" w:line="360" w:lineRule="auto"/>
        <w:jc w:val="left"/>
        <w:rPr>
          <w:rFonts w:ascii="Times New Roman" w:hAnsi="Times New Roman" w:eastAsiaTheme="minorEastAsia"/>
          <w:sz w:val="24"/>
          <w:szCs w:val="24"/>
        </w:rPr>
      </w:pPr>
      <w:bookmarkStart w:id="15" w:name="_Toc35393792"/>
      <w:bookmarkStart w:id="16" w:name="_Toc35393623"/>
      <w:r>
        <w:rPr>
          <w:rFonts w:ascii="Times New Roman" w:hAnsi="Times New Roman" w:eastAsiaTheme="minorEastAsia"/>
          <w:sz w:val="24"/>
          <w:szCs w:val="24"/>
        </w:rPr>
        <w:t>三、获取采购文件</w:t>
      </w:r>
      <w:bookmarkEnd w:id="15"/>
      <w:bookmarkEnd w:id="16"/>
    </w:p>
    <w:p>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hint="eastAsia" w:eastAsiaTheme="minorEastAsia"/>
          <w:sz w:val="24"/>
          <w:lang w:bidi="ar"/>
        </w:rPr>
        <w:t>20</w:t>
      </w:r>
      <w:r>
        <w:rPr>
          <w:rFonts w:hint="eastAsia" w:eastAsiaTheme="minorEastAsia"/>
          <w:sz w:val="24"/>
          <w:lang w:val="en-US" w:eastAsia="zh-CN" w:bidi="ar"/>
        </w:rPr>
        <w:t>23</w:t>
      </w:r>
      <w:r>
        <w:rPr>
          <w:rFonts w:hint="eastAsia" w:eastAsiaTheme="minorEastAsia"/>
          <w:sz w:val="24"/>
          <w:lang w:bidi="ar"/>
        </w:rPr>
        <w:t>年</w:t>
      </w:r>
      <w:r>
        <w:rPr>
          <w:rFonts w:hint="eastAsia" w:eastAsiaTheme="minorEastAsia"/>
          <w:sz w:val="24"/>
          <w:lang w:val="en-US" w:eastAsia="zh-CN" w:bidi="ar"/>
        </w:rPr>
        <w:t>4</w:t>
      </w:r>
      <w:r>
        <w:rPr>
          <w:rFonts w:hint="eastAsia" w:eastAsiaTheme="minorEastAsia"/>
          <w:sz w:val="24"/>
          <w:lang w:bidi="ar"/>
        </w:rPr>
        <w:t>月</w:t>
      </w:r>
      <w:r>
        <w:rPr>
          <w:rFonts w:hint="eastAsia" w:cs="Times New Roman"/>
          <w:kern w:val="0"/>
          <w:sz w:val="24"/>
          <w:szCs w:val="24"/>
          <w:shd w:val="clear" w:fill="FFFFFF"/>
          <w:lang w:val="en-US" w:eastAsia="zh-CN" w:bidi="ar"/>
        </w:rPr>
        <w:t>1</w:t>
      </w:r>
      <w:r>
        <w:rPr>
          <w:rFonts w:hint="eastAsia" w:eastAsiaTheme="minorEastAsia"/>
          <w:sz w:val="24"/>
          <w:lang w:bidi="ar"/>
        </w:rPr>
        <w:t>日8时00分-202</w:t>
      </w:r>
      <w:r>
        <w:rPr>
          <w:rFonts w:hint="eastAsia" w:eastAsiaTheme="minorEastAsia"/>
          <w:sz w:val="24"/>
          <w:lang w:val="en-US" w:eastAsia="zh-CN" w:bidi="ar"/>
        </w:rPr>
        <w:t>3</w:t>
      </w:r>
      <w:r>
        <w:rPr>
          <w:rFonts w:hint="eastAsia" w:eastAsiaTheme="minorEastAsia"/>
          <w:sz w:val="24"/>
          <w:lang w:bidi="ar"/>
        </w:rPr>
        <w:t>年</w:t>
      </w:r>
      <w:r>
        <w:rPr>
          <w:rFonts w:hint="eastAsia" w:eastAsiaTheme="minorEastAsia"/>
          <w:sz w:val="24"/>
          <w:lang w:val="en-US" w:eastAsia="zh-CN" w:bidi="ar"/>
        </w:rPr>
        <w:t>4</w:t>
      </w:r>
      <w:r>
        <w:rPr>
          <w:rFonts w:hint="eastAsia" w:eastAsiaTheme="minorEastAsia"/>
          <w:sz w:val="24"/>
          <w:lang w:bidi="ar"/>
        </w:rPr>
        <w:t>月</w:t>
      </w:r>
      <w:r>
        <w:rPr>
          <w:rFonts w:hint="eastAsia" w:cs="Times New Roman"/>
          <w:kern w:val="0"/>
          <w:sz w:val="24"/>
          <w:szCs w:val="24"/>
          <w:shd w:val="clear" w:fill="FFFFFF"/>
          <w:lang w:val="en-US" w:eastAsia="zh-CN" w:bidi="ar"/>
        </w:rPr>
        <w:t>6</w:t>
      </w:r>
      <w:r>
        <w:rPr>
          <w:rFonts w:hint="eastAsia" w:eastAsiaTheme="minorEastAsia"/>
          <w:sz w:val="24"/>
          <w:lang w:bidi="ar"/>
        </w:rPr>
        <w:t>日1</w:t>
      </w:r>
      <w:r>
        <w:rPr>
          <w:rFonts w:hint="eastAsia" w:eastAsiaTheme="minorEastAsia"/>
          <w:sz w:val="24"/>
          <w:lang w:val="en-US" w:eastAsia="zh-CN" w:bidi="ar"/>
        </w:rPr>
        <w:t>7</w:t>
      </w:r>
      <w:r>
        <w:rPr>
          <w:rFonts w:hint="eastAsia" w:eastAsiaTheme="minorEastAsia"/>
          <w:sz w:val="24"/>
          <w:lang w:bidi="ar"/>
        </w:rPr>
        <w:t>时00分</w:t>
      </w:r>
      <w:r>
        <w:rPr>
          <w:rFonts w:eastAsiaTheme="minorEastAsia"/>
          <w:sz w:val="24"/>
          <w:lang w:bidi="ar"/>
        </w:rPr>
        <w:t>。</w:t>
      </w:r>
    </w:p>
    <w:p>
      <w:pPr>
        <w:adjustRightInd w:val="0"/>
        <w:snapToGrid w:val="0"/>
        <w:spacing w:line="360" w:lineRule="auto"/>
        <w:ind w:firstLine="480" w:firstLineChars="200"/>
        <w:rPr>
          <w:rFonts w:hint="eastAsia" w:eastAsiaTheme="minorEastAsia"/>
          <w:sz w:val="24"/>
          <w:lang w:val="en-US" w:eastAsia="zh-CN"/>
        </w:rPr>
      </w:pPr>
      <w:r>
        <w:rPr>
          <w:rFonts w:eastAsiaTheme="minorEastAsia"/>
          <w:sz w:val="24"/>
          <w:lang w:bidi="ar"/>
        </w:rPr>
        <w:t>2.地点：</w:t>
      </w:r>
      <w:r>
        <w:rPr>
          <w:rFonts w:hint="eastAsia" w:eastAsiaTheme="minorEastAsia"/>
          <w:sz w:val="24"/>
          <w:lang w:bidi="ar"/>
        </w:rPr>
        <w:t>河北省廊坊市广阳区丰盛路159号</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w:t>
      </w:r>
      <w:r>
        <w:rPr>
          <w:rFonts w:hint="eastAsia" w:eastAsiaTheme="minorEastAsia"/>
          <w:sz w:val="24"/>
          <w:lang w:bidi="ar"/>
        </w:rPr>
        <w:t>在线下载，下载地址为公告页面</w:t>
      </w:r>
      <w:r>
        <w:rPr>
          <w:rFonts w:hint="eastAsia" w:eastAsiaTheme="minorEastAsia"/>
          <w:sz w:val="24"/>
          <w:lang w:val="en-US" w:eastAsia="zh-CN" w:bidi="ar"/>
        </w:rPr>
        <w:t>附件</w:t>
      </w:r>
      <w:r>
        <w:rPr>
          <w:rFonts w:hint="eastAsia" w:eastAsiaTheme="minorEastAsia"/>
          <w:sz w:val="24"/>
          <w:lang w:bidi="ar"/>
        </w:rPr>
        <w:t>。下载后需在202</w:t>
      </w:r>
      <w:r>
        <w:rPr>
          <w:rFonts w:hint="eastAsia" w:eastAsiaTheme="minorEastAsia"/>
          <w:sz w:val="24"/>
          <w:lang w:val="en-US" w:eastAsia="zh-CN" w:bidi="ar"/>
        </w:rPr>
        <w:t>3</w:t>
      </w:r>
      <w:r>
        <w:rPr>
          <w:rFonts w:hint="eastAsia" w:eastAsiaTheme="minorEastAsia"/>
          <w:sz w:val="24"/>
          <w:lang w:bidi="ar"/>
        </w:rPr>
        <w:t>年</w:t>
      </w:r>
      <w:r>
        <w:rPr>
          <w:rFonts w:hint="eastAsia" w:eastAsiaTheme="minorEastAsia"/>
          <w:sz w:val="24"/>
          <w:lang w:val="en-US" w:eastAsia="zh-CN" w:bidi="ar"/>
        </w:rPr>
        <w:t>4</w:t>
      </w:r>
      <w:r>
        <w:rPr>
          <w:rFonts w:hint="eastAsia" w:eastAsiaTheme="minorEastAsia"/>
          <w:sz w:val="24"/>
          <w:lang w:bidi="ar"/>
        </w:rPr>
        <w:t>月</w:t>
      </w:r>
      <w:r>
        <w:rPr>
          <w:rFonts w:hint="eastAsia" w:eastAsiaTheme="minorEastAsia"/>
          <w:sz w:val="24"/>
          <w:lang w:val="en-US" w:eastAsia="zh-CN" w:bidi="ar"/>
        </w:rPr>
        <w:t>1</w:t>
      </w:r>
      <w:r>
        <w:rPr>
          <w:rFonts w:hint="eastAsia" w:eastAsiaTheme="minorEastAsia"/>
          <w:sz w:val="24"/>
          <w:lang w:bidi="ar"/>
        </w:rPr>
        <w:t>日8时0分0秒-20</w:t>
      </w:r>
      <w:r>
        <w:rPr>
          <w:rFonts w:hint="eastAsia" w:eastAsiaTheme="minorEastAsia"/>
          <w:sz w:val="24"/>
          <w:lang w:val="en-US" w:eastAsia="zh-CN" w:bidi="ar"/>
        </w:rPr>
        <w:t>23</w:t>
      </w:r>
      <w:r>
        <w:rPr>
          <w:rFonts w:hint="eastAsia" w:eastAsiaTheme="minorEastAsia"/>
          <w:sz w:val="24"/>
          <w:lang w:bidi="ar"/>
        </w:rPr>
        <w:t>年</w:t>
      </w:r>
      <w:r>
        <w:rPr>
          <w:rFonts w:hint="eastAsia" w:eastAsiaTheme="minorEastAsia"/>
          <w:sz w:val="24"/>
          <w:lang w:val="en-US" w:eastAsia="zh-CN" w:bidi="ar"/>
        </w:rPr>
        <w:t>4</w:t>
      </w:r>
      <w:r>
        <w:rPr>
          <w:rFonts w:hint="eastAsia" w:eastAsiaTheme="minorEastAsia"/>
          <w:sz w:val="24"/>
          <w:lang w:bidi="ar"/>
        </w:rPr>
        <w:t>月</w:t>
      </w:r>
      <w:r>
        <w:rPr>
          <w:rFonts w:hint="eastAsia" w:eastAsiaTheme="minorEastAsia"/>
          <w:sz w:val="24"/>
          <w:lang w:val="en-US" w:eastAsia="zh-CN" w:bidi="ar"/>
        </w:rPr>
        <w:t>6</w:t>
      </w:r>
      <w:r>
        <w:rPr>
          <w:rFonts w:hint="eastAsia" w:eastAsiaTheme="minorEastAsia"/>
          <w:sz w:val="24"/>
          <w:lang w:bidi="ar"/>
        </w:rPr>
        <w:t>日1</w:t>
      </w:r>
      <w:r>
        <w:rPr>
          <w:rFonts w:hint="eastAsia" w:eastAsiaTheme="minorEastAsia"/>
          <w:sz w:val="24"/>
          <w:lang w:val="en-US" w:eastAsia="zh-CN" w:bidi="ar"/>
        </w:rPr>
        <w:t>7</w:t>
      </w:r>
      <w:bookmarkStart w:id="736" w:name="_GoBack"/>
      <w:bookmarkEnd w:id="736"/>
      <w:r>
        <w:rPr>
          <w:rFonts w:hint="eastAsia" w:eastAsiaTheme="minorEastAsia"/>
          <w:sz w:val="24"/>
          <w:lang w:bidi="ar"/>
        </w:rPr>
        <w:t>时0分0秒向DQWLCG@163.COM发送报名材料方可视为报名。报名材料包括：报名人员身份证扫描件或照片（报名人员如不是法人需提供法人代表授权书扫描件或照片、身份证复印件上需加盖公章），且务必提供：单位名称、地址、联系人、联系电话等有效信息。</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pPr>
        <w:pStyle w:val="8"/>
        <w:widowControl/>
        <w:spacing w:before="0" w:line="360" w:lineRule="auto"/>
        <w:jc w:val="left"/>
        <w:rPr>
          <w:rFonts w:ascii="Times New Roman" w:hAnsi="Times New Roman" w:eastAsiaTheme="minorEastAsia"/>
          <w:sz w:val="24"/>
          <w:szCs w:val="24"/>
        </w:rPr>
      </w:pPr>
      <w:bookmarkStart w:id="17" w:name="_Toc28359005"/>
      <w:bookmarkStart w:id="18" w:name="_Toc35393624"/>
      <w:bookmarkStart w:id="19" w:name="_Toc28359082"/>
      <w:bookmarkStart w:id="20" w:name="_Toc35393793"/>
      <w:r>
        <w:rPr>
          <w:rFonts w:ascii="Times New Roman" w:hAnsi="Times New Roman" w:eastAsiaTheme="minorEastAsia"/>
          <w:sz w:val="24"/>
          <w:szCs w:val="24"/>
        </w:rPr>
        <w:t>四、</w:t>
      </w:r>
      <w:bookmarkEnd w:id="17"/>
      <w:bookmarkEnd w:id="18"/>
      <w:bookmarkEnd w:id="19"/>
      <w:bookmarkEnd w:id="20"/>
      <w:r>
        <w:rPr>
          <w:rFonts w:ascii="Times New Roman" w:hAnsi="Times New Roman" w:eastAsiaTheme="minorEastAsia"/>
          <w:sz w:val="24"/>
          <w:szCs w:val="24"/>
        </w:rPr>
        <w:t>响应文件提交</w:t>
      </w:r>
    </w:p>
    <w:p>
      <w:pPr>
        <w:spacing w:line="360" w:lineRule="auto"/>
        <w:ind w:firstLine="480" w:firstLineChars="200"/>
        <w:rPr>
          <w:rFonts w:eastAsiaTheme="minorEastAsia"/>
          <w:bCs/>
          <w:sz w:val="24"/>
          <w:u w:val="single"/>
        </w:rPr>
      </w:pPr>
      <w:r>
        <w:rPr>
          <w:rFonts w:eastAsiaTheme="minorEastAsia"/>
          <w:sz w:val="24"/>
          <w:lang w:bidi="ar"/>
        </w:rPr>
        <w:t>截止时间：202</w:t>
      </w:r>
      <w:r>
        <w:rPr>
          <w:rFonts w:hint="eastAsia" w:eastAsiaTheme="minorEastAsia"/>
          <w:sz w:val="24"/>
          <w:lang w:val="en-US" w:eastAsia="zh-CN" w:bidi="ar"/>
        </w:rPr>
        <w:t>3</w:t>
      </w:r>
      <w:r>
        <w:rPr>
          <w:rFonts w:eastAsiaTheme="minorEastAsia"/>
          <w:sz w:val="24"/>
          <w:lang w:bidi="ar"/>
        </w:rPr>
        <w:t>年</w:t>
      </w:r>
      <w:r>
        <w:rPr>
          <w:rFonts w:hint="eastAsia" w:eastAsiaTheme="minorEastAsia"/>
          <w:sz w:val="24"/>
          <w:lang w:val="en-US" w:eastAsia="zh-CN" w:bidi="ar"/>
        </w:rPr>
        <w:t>4</w:t>
      </w:r>
      <w:r>
        <w:rPr>
          <w:rFonts w:eastAsiaTheme="minorEastAsia"/>
          <w:sz w:val="24"/>
          <w:lang w:bidi="ar"/>
        </w:rPr>
        <w:t>月</w:t>
      </w:r>
      <w:r>
        <w:rPr>
          <w:rFonts w:hint="eastAsia" w:cs="Times New Roman"/>
          <w:kern w:val="0"/>
          <w:sz w:val="24"/>
          <w:szCs w:val="24"/>
          <w:shd w:val="clear" w:fill="FFFFFF"/>
          <w:lang w:val="en-US" w:eastAsia="zh-CN" w:bidi="ar"/>
        </w:rPr>
        <w:t>7</w:t>
      </w:r>
      <w:r>
        <w:rPr>
          <w:rFonts w:eastAsiaTheme="minorEastAsia"/>
          <w:sz w:val="24"/>
          <w:lang w:bidi="ar"/>
        </w:rPr>
        <w:t>日</w:t>
      </w:r>
      <w:r>
        <w:rPr>
          <w:rFonts w:hint="eastAsia" w:eastAsiaTheme="minorEastAsia"/>
          <w:sz w:val="24"/>
          <w:lang w:val="en-US" w:eastAsia="zh-CN" w:bidi="ar"/>
        </w:rPr>
        <w:t>9</w:t>
      </w:r>
      <w:r>
        <w:rPr>
          <w:rFonts w:eastAsiaTheme="minorEastAsia"/>
          <w:sz w:val="24"/>
          <w:lang w:bidi="ar"/>
        </w:rPr>
        <w:t>点</w:t>
      </w:r>
      <w:r>
        <w:rPr>
          <w:rFonts w:hint="eastAsia" w:eastAsiaTheme="minorEastAsia"/>
          <w:sz w:val="24"/>
          <w:lang w:val="en-US" w:eastAsia="zh-CN" w:bidi="ar"/>
        </w:rPr>
        <w:t>3</w:t>
      </w:r>
      <w:r>
        <w:rPr>
          <w:rFonts w:eastAsiaTheme="minorEastAsia"/>
          <w:sz w:val="24"/>
          <w:lang w:bidi="ar"/>
        </w:rPr>
        <w:t>0分</w:t>
      </w:r>
      <w:r>
        <w:rPr>
          <w:rFonts w:eastAsiaTheme="minorEastAsia"/>
          <w:bCs/>
          <w:sz w:val="24"/>
          <w:lang w:bidi="ar"/>
        </w:rPr>
        <w:t>（北京时间）</w:t>
      </w:r>
      <w:r>
        <w:rPr>
          <w:rFonts w:eastAsiaTheme="minorEastAsia"/>
          <w:iCs/>
          <w:sz w:val="24"/>
          <w:lang w:bidi="ar"/>
        </w:rPr>
        <w:t>。</w:t>
      </w:r>
    </w:p>
    <w:p>
      <w:pPr>
        <w:spacing w:line="360" w:lineRule="auto"/>
        <w:ind w:firstLine="480" w:firstLineChars="200"/>
        <w:rPr>
          <w:rFonts w:eastAsiaTheme="minorEastAsia"/>
          <w:sz w:val="24"/>
          <w:lang w:val="zh-TW" w:bidi="ar"/>
        </w:rPr>
      </w:pPr>
      <w:r>
        <w:rPr>
          <w:rFonts w:eastAsiaTheme="minorEastAsia"/>
          <w:sz w:val="24"/>
          <w:lang w:bidi="ar"/>
        </w:rPr>
        <w:t>地    点：</w:t>
      </w:r>
      <w:r>
        <w:rPr>
          <w:rFonts w:hint="eastAsia" w:eastAsiaTheme="minorEastAsia"/>
          <w:sz w:val="24"/>
          <w:lang w:bidi="ar"/>
        </w:rPr>
        <w:t>河北省廊坊市广阳区丰盛路1</w:t>
      </w:r>
      <w:r>
        <w:rPr>
          <w:rFonts w:eastAsiaTheme="minorEastAsia"/>
          <w:sz w:val="24"/>
          <w:lang w:bidi="ar"/>
        </w:rPr>
        <w:t>59</w:t>
      </w:r>
      <w:r>
        <w:rPr>
          <w:rFonts w:hint="eastAsia" w:eastAsiaTheme="minorEastAsia"/>
          <w:sz w:val="24"/>
          <w:lang w:bidi="ar"/>
        </w:rPr>
        <w:t>号</w:t>
      </w:r>
      <w:r>
        <w:rPr>
          <w:rFonts w:eastAsiaTheme="minorEastAsia"/>
          <w:sz w:val="24"/>
          <w:lang w:val="zh-TW" w:bidi="ar"/>
        </w:rPr>
        <w:t>。</w:t>
      </w:r>
    </w:p>
    <w:p>
      <w:pPr>
        <w:pStyle w:val="2"/>
        <w:ind w:firstLine="240"/>
        <w:rPr>
          <w:rFonts w:eastAsiaTheme="minorEastAsia"/>
        </w:rPr>
      </w:pPr>
      <w:r>
        <w:rPr>
          <w:rFonts w:hint="eastAsia" w:eastAsiaTheme="minorEastAsia"/>
          <w:lang w:bidi="ar"/>
        </w:rPr>
        <w:t xml:space="preserve">  邮    箱：DQWLCG@163.COM</w:t>
      </w:r>
    </w:p>
    <w:p>
      <w:pPr>
        <w:pStyle w:val="8"/>
        <w:spacing w:before="0" w:line="360" w:lineRule="auto"/>
        <w:jc w:val="left"/>
        <w:rPr>
          <w:rFonts w:ascii="Times New Roman" w:hAnsi="Times New Roman" w:eastAsiaTheme="minorEastAsia"/>
          <w:sz w:val="24"/>
          <w:szCs w:val="24"/>
        </w:rPr>
      </w:pPr>
      <w:bookmarkStart w:id="21" w:name="_Toc35393794"/>
      <w:bookmarkStart w:id="22" w:name="_Toc28359084"/>
      <w:bookmarkStart w:id="23" w:name="_Toc35393625"/>
      <w:bookmarkStart w:id="24" w:name="_Toc28359007"/>
      <w:r>
        <w:rPr>
          <w:rFonts w:ascii="Times New Roman" w:hAnsi="Times New Roman" w:eastAsiaTheme="minorEastAsia"/>
          <w:sz w:val="24"/>
          <w:szCs w:val="24"/>
        </w:rPr>
        <w:t>五、公告期限</w:t>
      </w:r>
      <w:bookmarkEnd w:id="21"/>
      <w:bookmarkEnd w:id="22"/>
      <w:bookmarkEnd w:id="23"/>
      <w:bookmarkEnd w:id="24"/>
    </w:p>
    <w:p>
      <w:pPr>
        <w:spacing w:line="360" w:lineRule="auto"/>
        <w:ind w:firstLine="480" w:firstLineChars="200"/>
        <w:rPr>
          <w:rFonts w:eastAsiaTheme="minorEastAsia"/>
          <w:kern w:val="0"/>
          <w:sz w:val="24"/>
        </w:rPr>
      </w:pPr>
      <w:r>
        <w:rPr>
          <w:rFonts w:eastAsiaTheme="minorEastAsia"/>
          <w:kern w:val="0"/>
          <w:sz w:val="24"/>
        </w:rPr>
        <w:t>自本公告发布之日起3个工作日。</w:t>
      </w:r>
    </w:p>
    <w:p>
      <w:pPr>
        <w:pStyle w:val="8"/>
        <w:spacing w:before="0" w:line="360" w:lineRule="auto"/>
        <w:jc w:val="left"/>
        <w:rPr>
          <w:rFonts w:ascii="Times New Roman" w:hAnsi="Times New Roman" w:eastAsiaTheme="minorEastAsia"/>
          <w:sz w:val="24"/>
          <w:szCs w:val="24"/>
        </w:rPr>
      </w:pPr>
      <w:bookmarkStart w:id="25" w:name="_Toc35393626"/>
      <w:bookmarkStart w:id="26" w:name="_Toc35393795"/>
      <w:r>
        <w:rPr>
          <w:rFonts w:ascii="Times New Roman" w:hAnsi="Times New Roman" w:eastAsiaTheme="minorEastAsia"/>
          <w:sz w:val="24"/>
          <w:szCs w:val="24"/>
        </w:rPr>
        <w:t>六、其他补充事宜</w:t>
      </w:r>
      <w:bookmarkEnd w:id="25"/>
      <w:bookmarkEnd w:id="26"/>
    </w:p>
    <w:p>
      <w:pPr>
        <w:spacing w:line="360" w:lineRule="auto"/>
        <w:ind w:firstLine="480" w:firstLineChars="200"/>
        <w:rPr>
          <w:rFonts w:eastAsiaTheme="minorEastAsia"/>
          <w:sz w:val="24"/>
        </w:rPr>
      </w:pPr>
      <w:r>
        <w:rPr>
          <w:rFonts w:hint="eastAsia" w:eastAsiaTheme="minorEastAsia"/>
          <w:sz w:val="24"/>
        </w:rPr>
        <w:t>无</w:t>
      </w:r>
    </w:p>
    <w:p>
      <w:pPr>
        <w:pStyle w:val="8"/>
        <w:spacing w:before="0" w:line="360" w:lineRule="auto"/>
        <w:jc w:val="left"/>
        <w:rPr>
          <w:rFonts w:ascii="Times New Roman" w:hAnsi="Times New Roman" w:eastAsiaTheme="minorEastAsia"/>
          <w:sz w:val="24"/>
          <w:szCs w:val="24"/>
        </w:rPr>
      </w:pPr>
      <w:bookmarkStart w:id="27" w:name="_Toc28359085"/>
      <w:bookmarkStart w:id="28" w:name="_Toc35393796"/>
      <w:bookmarkStart w:id="29" w:name="_Toc35393627"/>
      <w:bookmarkStart w:id="30" w:name="_Toc28359008"/>
      <w:r>
        <w:rPr>
          <w:rFonts w:ascii="Times New Roman" w:hAnsi="Times New Roman" w:eastAsiaTheme="minorEastAsia"/>
          <w:sz w:val="24"/>
          <w:szCs w:val="24"/>
        </w:rPr>
        <w:t>七、对本次采购提出询问，请按以下方式联系。</w:t>
      </w:r>
      <w:bookmarkEnd w:id="27"/>
      <w:bookmarkEnd w:id="28"/>
      <w:bookmarkEnd w:id="29"/>
      <w:bookmarkEnd w:id="30"/>
    </w:p>
    <w:p>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pPr>
        <w:spacing w:line="360" w:lineRule="auto"/>
        <w:ind w:left="1079" w:leftChars="371" w:hanging="300" w:hangingChars="125"/>
        <w:jc w:val="left"/>
        <w:rPr>
          <w:rFonts w:eastAsiaTheme="minorEastAsia"/>
          <w:sz w:val="24"/>
        </w:rPr>
      </w:pPr>
      <w:bookmarkStart w:id="31" w:name="_Toc28359009"/>
      <w:bookmarkStart w:id="32" w:name="_Toc28359086"/>
      <w:r>
        <w:rPr>
          <w:rFonts w:eastAsiaTheme="minorEastAsia"/>
          <w:sz w:val="24"/>
        </w:rPr>
        <w:t>名    称</w:t>
      </w:r>
      <w:r>
        <w:rPr>
          <w:rFonts w:hint="eastAsia" w:eastAsiaTheme="minorEastAsia"/>
          <w:sz w:val="24"/>
        </w:rPr>
        <w:t>：</w:t>
      </w:r>
      <w:r>
        <w:rPr>
          <w:rFonts w:hint="eastAsia" w:eastAsiaTheme="minorEastAsia"/>
          <w:sz w:val="24"/>
          <w:u w:val="single"/>
        </w:rPr>
        <w:t xml:space="preserve"> </w:t>
      </w:r>
      <w:r>
        <w:rPr>
          <w:rFonts w:eastAsiaTheme="minorEastAsia"/>
          <w:sz w:val="24"/>
          <w:u w:val="single"/>
        </w:rPr>
        <w:t xml:space="preserve"> </w:t>
      </w:r>
      <w:r>
        <w:rPr>
          <w:rFonts w:hint="eastAsia" w:eastAsiaTheme="minorEastAsia"/>
          <w:sz w:val="24"/>
          <w:u w:val="single"/>
        </w:rPr>
        <w:t xml:space="preserve">中国地质调查局地球物理调查中心 </w:t>
      </w:r>
      <w:r>
        <w:rPr>
          <w:rFonts w:eastAsiaTheme="minorEastAsia"/>
          <w:sz w:val="24"/>
          <w:u w:val="single"/>
        </w:rPr>
        <w:t xml:space="preserve"> </w:t>
      </w:r>
    </w:p>
    <w:p>
      <w:pPr>
        <w:spacing w:line="360" w:lineRule="auto"/>
        <w:ind w:left="1079" w:leftChars="371" w:hanging="300" w:hangingChars="125"/>
        <w:jc w:val="left"/>
        <w:rPr>
          <w:rFonts w:hint="default" w:eastAsiaTheme="minorEastAsia"/>
          <w:sz w:val="24"/>
          <w:lang w:val="en-US" w:eastAsia="zh-CN"/>
        </w:rPr>
      </w:pPr>
      <w:r>
        <w:rPr>
          <w:rFonts w:eastAsiaTheme="minorEastAsia"/>
          <w:sz w:val="24"/>
        </w:rPr>
        <w:t>地    址：</w:t>
      </w:r>
      <w:r>
        <w:rPr>
          <w:rFonts w:eastAsiaTheme="minorEastAsia"/>
          <w:sz w:val="24"/>
          <w:u w:val="single"/>
        </w:rPr>
        <w:t>　</w:t>
      </w:r>
      <w:bookmarkStart w:id="33" w:name="_Hlk118481083"/>
      <w:r>
        <w:rPr>
          <w:rFonts w:hint="eastAsia" w:eastAsiaTheme="minorEastAsia"/>
          <w:sz w:val="24"/>
          <w:u w:val="single"/>
        </w:rPr>
        <w:t>河北省廊坊市广阳区丰盛路159号</w:t>
      </w:r>
      <w:bookmarkEnd w:id="33"/>
      <w:r>
        <w:rPr>
          <w:rFonts w:hint="eastAsia" w:eastAsiaTheme="minorEastAsia"/>
          <w:sz w:val="24"/>
          <w:u w:val="single"/>
          <w:lang w:val="en-US" w:eastAsia="zh-CN"/>
        </w:rPr>
        <w:t xml:space="preserve">  </w:t>
      </w:r>
    </w:p>
    <w:p>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eastAsiaTheme="minorEastAsia"/>
          <w:sz w:val="24"/>
          <w:u w:val="single"/>
        </w:rPr>
        <w:t>　0316-5202757　　　</w:t>
      </w:r>
      <w:r>
        <w:rPr>
          <w:rFonts w:hint="eastAsia" w:eastAsiaTheme="minorEastAsia"/>
          <w:sz w:val="24"/>
          <w:u w:val="single"/>
          <w:lang w:val="en-US" w:eastAsia="zh-CN"/>
        </w:rPr>
        <w:t xml:space="preserve">       </w:t>
      </w:r>
      <w:r>
        <w:rPr>
          <w:rFonts w:eastAsiaTheme="minorEastAsia"/>
          <w:sz w:val="24"/>
          <w:u w:val="single"/>
        </w:rPr>
        <w:t>　　</w:t>
      </w:r>
      <w:r>
        <w:rPr>
          <w:rFonts w:hint="eastAsia" w:eastAsiaTheme="minorEastAsia"/>
          <w:sz w:val="24"/>
          <w:u w:val="single"/>
          <w:lang w:val="en-US" w:eastAsia="zh-CN"/>
        </w:rPr>
        <w:t xml:space="preserve"> </w:t>
      </w:r>
      <w:r>
        <w:rPr>
          <w:rFonts w:eastAsiaTheme="minorEastAsia"/>
          <w:sz w:val="24"/>
          <w:u w:val="single"/>
        </w:rPr>
        <w:t>　</w:t>
      </w:r>
    </w:p>
    <w:bookmarkEnd w:id="31"/>
    <w:bookmarkEnd w:id="32"/>
    <w:p>
      <w:pPr>
        <w:spacing w:line="360" w:lineRule="auto"/>
        <w:ind w:firstLine="482" w:firstLineChars="200"/>
        <w:rPr>
          <w:rFonts w:eastAsiaTheme="minorEastAsia"/>
          <w:b/>
          <w:sz w:val="24"/>
          <w:u w:val="single"/>
        </w:rPr>
      </w:pPr>
      <w:bookmarkStart w:id="34" w:name="_Toc28359087"/>
      <w:bookmarkStart w:id="35" w:name="_Toc28359010"/>
      <w:r>
        <w:rPr>
          <w:rFonts w:eastAsiaTheme="minorEastAsia"/>
          <w:b/>
          <w:sz w:val="24"/>
        </w:rPr>
        <w:t>2.项目联系方式</w:t>
      </w:r>
      <w:bookmarkEnd w:id="34"/>
      <w:bookmarkEnd w:id="35"/>
    </w:p>
    <w:p>
      <w:pPr>
        <w:pStyle w:val="28"/>
        <w:spacing w:line="360" w:lineRule="auto"/>
        <w:ind w:firstLine="720" w:firstLineChars="300"/>
        <w:rPr>
          <w:rFonts w:hint="default" w:ascii="Times New Roman" w:hAnsi="Times New Roman" w:eastAsiaTheme="minorEastAsia"/>
          <w:sz w:val="24"/>
          <w:szCs w:val="24"/>
        </w:rPr>
      </w:pPr>
      <w:r>
        <w:rPr>
          <w:rFonts w:hint="default" w:ascii="Times New Roman" w:hAnsi="Times New Roman" w:eastAsiaTheme="minorEastAsia"/>
          <w:sz w:val="24"/>
          <w:szCs w:val="24"/>
        </w:rPr>
        <w:t>项目联系人：</w:t>
      </w:r>
      <w:r>
        <w:rPr>
          <w:rFonts w:hint="default" w:ascii="Times New Roman" w:hAnsi="Times New Roman" w:eastAsiaTheme="minorEastAsia"/>
          <w:sz w:val="24"/>
          <w:u w:val="single"/>
        </w:rPr>
        <w:t>　　</w:t>
      </w:r>
      <w:r>
        <w:rPr>
          <w:rFonts w:ascii="Times New Roman" w:hAnsi="Times New Roman" w:eastAsiaTheme="minorEastAsia"/>
          <w:sz w:val="24"/>
          <w:u w:val="single"/>
        </w:rPr>
        <w:t xml:space="preserve">  </w:t>
      </w:r>
      <w:r>
        <w:rPr>
          <w:rFonts w:hint="eastAsia" w:ascii="Times New Roman" w:hAnsi="Times New Roman" w:eastAsiaTheme="minorEastAsia"/>
          <w:sz w:val="24"/>
          <w:u w:val="single"/>
          <w:lang w:val="en-US" w:eastAsia="zh-CN"/>
        </w:rPr>
        <w:t>王</w:t>
      </w:r>
      <w:r>
        <w:rPr>
          <w:rFonts w:ascii="Times New Roman" w:hAnsi="Times New Roman" w:eastAsiaTheme="minorEastAsia"/>
          <w:sz w:val="24"/>
          <w:u w:val="single"/>
        </w:rPr>
        <w:t>先生</w:t>
      </w:r>
      <w:r>
        <w:rPr>
          <w:rFonts w:hint="default" w:ascii="Times New Roman" w:hAnsi="Times New Roman" w:eastAsiaTheme="minorEastAsia"/>
          <w:sz w:val="24"/>
          <w:u w:val="single"/>
        </w:rPr>
        <w:t>　　</w:t>
      </w:r>
      <w:r>
        <w:rPr>
          <w:rFonts w:ascii="Times New Roman" w:hAnsi="Times New Roman" w:eastAsiaTheme="minorEastAsia"/>
          <w:sz w:val="24"/>
          <w:u w:val="single"/>
        </w:rPr>
        <w:t xml:space="preserve"> </w:t>
      </w:r>
      <w:r>
        <w:rPr>
          <w:rFonts w:hint="default" w:ascii="Times New Roman" w:hAnsi="Times New Roman" w:eastAsiaTheme="minorEastAsia"/>
          <w:sz w:val="24"/>
          <w:u w:val="single"/>
        </w:rPr>
        <w:t>　　</w:t>
      </w:r>
    </w:p>
    <w:p>
      <w:pPr>
        <w:pStyle w:val="28"/>
        <w:spacing w:line="360" w:lineRule="auto"/>
        <w:ind w:firstLine="720" w:firstLineChars="300"/>
        <w:rPr>
          <w:rFonts w:hint="default" w:ascii="Times New Roman" w:hAnsi="Times New Roman" w:eastAsiaTheme="minorEastAsia"/>
          <w:sz w:val="24"/>
          <w:u w:val="single"/>
        </w:rPr>
      </w:pPr>
      <w:r>
        <w:rPr>
          <w:rFonts w:hint="default" w:ascii="Times New Roman" w:hAnsi="Times New Roman" w:eastAsiaTheme="minorEastAsia"/>
          <w:sz w:val="24"/>
        </w:rPr>
        <w:t>电      话：</w:t>
      </w:r>
      <w:r>
        <w:rPr>
          <w:rFonts w:hint="default" w:ascii="Times New Roman" w:hAnsi="Times New Roman" w:eastAsiaTheme="minorEastAsia"/>
          <w:sz w:val="24"/>
          <w:u w:val="single"/>
        </w:rPr>
        <w:t>　　</w:t>
      </w:r>
      <w:r>
        <w:rPr>
          <w:rFonts w:ascii="Times New Roman" w:hAnsi="Times New Roman" w:eastAsiaTheme="minorEastAsia"/>
          <w:sz w:val="24"/>
          <w:u w:val="single"/>
        </w:rPr>
        <w:t>16630699</w:t>
      </w:r>
      <w:r>
        <w:rPr>
          <w:rFonts w:hint="eastAsia" w:ascii="Times New Roman" w:hAnsi="Times New Roman" w:eastAsiaTheme="minorEastAsia"/>
          <w:sz w:val="24"/>
          <w:u w:val="single"/>
          <w:lang w:val="en-US" w:eastAsia="zh-CN"/>
        </w:rPr>
        <w:t>115</w:t>
      </w:r>
      <w:r>
        <w:rPr>
          <w:rFonts w:hint="default" w:ascii="Times New Roman" w:hAnsi="Times New Roman" w:eastAsiaTheme="minorEastAsia"/>
          <w:sz w:val="24"/>
          <w:u w:val="single"/>
        </w:rPr>
        <w:t>　　　</w:t>
      </w:r>
    </w:p>
    <w:p>
      <w:pPr>
        <w:spacing w:line="360" w:lineRule="auto"/>
        <w:ind w:firstLine="482" w:firstLineChars="200"/>
        <w:rPr>
          <w:rFonts w:eastAsiaTheme="minorEastAsia"/>
          <w:b/>
          <w:sz w:val="24"/>
        </w:rPr>
      </w:pPr>
      <w:r>
        <w:rPr>
          <w:rFonts w:eastAsiaTheme="minorEastAsia"/>
          <w:b/>
          <w:sz w:val="24"/>
        </w:rPr>
        <w:t>3</w:t>
      </w:r>
      <w:r>
        <w:rPr>
          <w:rFonts w:hint="eastAsia" w:eastAsiaTheme="minorEastAsia"/>
          <w:b/>
          <w:sz w:val="24"/>
          <w:lang w:val="en-US" w:eastAsia="zh-CN"/>
        </w:rPr>
        <w:t>.</w:t>
      </w:r>
      <w:r>
        <w:rPr>
          <w:rFonts w:hint="eastAsia" w:eastAsiaTheme="minorEastAsia"/>
          <w:b/>
          <w:sz w:val="24"/>
        </w:rPr>
        <w:t>纪检监督电话：</w:t>
      </w:r>
    </w:p>
    <w:p>
      <w:pPr>
        <w:pStyle w:val="28"/>
        <w:spacing w:line="360" w:lineRule="auto"/>
        <w:ind w:firstLine="720" w:firstLineChars="300"/>
        <w:rPr>
          <w:rFonts w:hint="default" w:ascii="Times New Roman" w:hAnsi="Times New Roman" w:eastAsiaTheme="minorEastAsia"/>
          <w:sz w:val="24"/>
          <w:u w:val="single"/>
        </w:rPr>
      </w:pPr>
      <w:r>
        <w:rPr>
          <w:rFonts w:ascii="Times New Roman" w:hAnsi="Times New Roman" w:eastAsiaTheme="minorEastAsia"/>
          <w:sz w:val="24"/>
          <w:u w:val="single"/>
        </w:rPr>
        <w:t>座机：0316-5909506（丁先生）</w:t>
      </w:r>
    </w:p>
    <w:p>
      <w:pPr>
        <w:pStyle w:val="28"/>
        <w:spacing w:line="360" w:lineRule="auto"/>
        <w:ind w:firstLine="720" w:firstLineChars="300"/>
        <w:rPr>
          <w:rFonts w:hint="default" w:ascii="Times New Roman" w:hAnsi="Times New Roman" w:eastAsiaTheme="minorEastAsia"/>
          <w:sz w:val="24"/>
          <w:u w:val="single"/>
        </w:rPr>
      </w:pPr>
      <w:r>
        <w:rPr>
          <w:rFonts w:ascii="Times New Roman" w:hAnsi="Times New Roman" w:eastAsiaTheme="minorEastAsia"/>
          <w:sz w:val="24"/>
          <w:u w:val="single"/>
        </w:rPr>
        <w:t>手机：15231620606（张先生）</w:t>
      </w:r>
    </w:p>
    <w:p>
      <w:pPr>
        <w:pStyle w:val="28"/>
        <w:spacing w:line="360" w:lineRule="auto"/>
        <w:ind w:firstLine="720" w:firstLineChars="300"/>
        <w:rPr>
          <w:rFonts w:eastAsiaTheme="minorEastAsia"/>
          <w:sz w:val="24"/>
        </w:rPr>
      </w:pPr>
      <w:r>
        <w:rPr>
          <w:rFonts w:ascii="Times New Roman" w:hAnsi="Times New Roman" w:eastAsiaTheme="minorEastAsia"/>
          <w:sz w:val="24"/>
          <w:u w:val="single"/>
        </w:rPr>
        <w:t>邮箱：dqwlzzjj@163.com</w:t>
      </w:r>
    </w:p>
    <w:p>
      <w:pPr>
        <w:spacing w:line="360" w:lineRule="auto"/>
        <w:jc w:val="center"/>
        <w:outlineLvl w:val="0"/>
        <w:rPr>
          <w:rFonts w:eastAsiaTheme="minorEastAsia"/>
          <w:b/>
          <w:sz w:val="32"/>
          <w:szCs w:val="32"/>
        </w:rPr>
      </w:pPr>
      <w:r>
        <w:rPr>
          <w:rFonts w:eastAsiaTheme="minorEastAsia"/>
          <w:sz w:val="24"/>
        </w:rPr>
        <w:br w:type="page"/>
      </w:r>
      <w:bookmarkStart w:id="36" w:name="_Toc127151777"/>
      <w:bookmarkStart w:id="37" w:name="_Toc264969275"/>
      <w:bookmarkStart w:id="38" w:name="_Toc305158928"/>
      <w:bookmarkStart w:id="39" w:name="_Toc99301346"/>
      <w:bookmarkStart w:id="40" w:name="_Toc150774783"/>
      <w:bookmarkStart w:id="41" w:name="_Toc226965856"/>
      <w:bookmarkStart w:id="42" w:name="_Toc195842950"/>
      <w:bookmarkStart w:id="43" w:name="_Toc353873938"/>
      <w:bookmarkStart w:id="44" w:name="_Toc305158854"/>
      <w:bookmarkStart w:id="45" w:name="_Toc265228423"/>
      <w:bookmarkStart w:id="46" w:name="_Toc353825548"/>
      <w:bookmarkStart w:id="47" w:name="_Toc512937850"/>
      <w:bookmarkStart w:id="48" w:name="_Toc127161488"/>
      <w:r>
        <w:rPr>
          <w:rFonts w:eastAsiaTheme="minorEastAsia"/>
          <w:b/>
          <w:sz w:val="36"/>
          <w:szCs w:val="36"/>
        </w:rPr>
        <w:t>第二章   供应商须知</w:t>
      </w:r>
      <w:bookmarkEnd w:id="36"/>
      <w:bookmarkEnd w:id="37"/>
      <w:bookmarkEnd w:id="38"/>
      <w:bookmarkEnd w:id="39"/>
      <w:bookmarkEnd w:id="40"/>
      <w:bookmarkEnd w:id="41"/>
      <w:bookmarkEnd w:id="42"/>
      <w:bookmarkEnd w:id="43"/>
      <w:bookmarkEnd w:id="44"/>
      <w:bookmarkEnd w:id="45"/>
      <w:bookmarkEnd w:id="46"/>
      <w:bookmarkEnd w:id="47"/>
      <w:bookmarkEnd w:id="48"/>
    </w:p>
    <w:p>
      <w:pPr>
        <w:jc w:val="center"/>
        <w:rPr>
          <w:rFonts w:eastAsiaTheme="minorEastAsia"/>
          <w:b/>
          <w:sz w:val="28"/>
          <w:szCs w:val="28"/>
        </w:rPr>
      </w:pPr>
      <w:bookmarkStart w:id="49" w:name="_Toc151190146"/>
      <w:bookmarkStart w:id="50" w:name="_Toc226965709"/>
      <w:bookmarkStart w:id="51" w:name="_Toc164608633"/>
      <w:bookmarkStart w:id="52" w:name="_Toc151193907"/>
      <w:bookmarkStart w:id="53" w:name="_Toc226337215"/>
      <w:bookmarkStart w:id="54" w:name="_Toc164608788"/>
      <w:bookmarkStart w:id="55" w:name="_Toc226965792"/>
      <w:bookmarkStart w:id="56" w:name="_Toc150774619"/>
      <w:bookmarkStart w:id="57" w:name="_Toc226309763"/>
      <w:bookmarkStart w:id="58" w:name="_Toc150480757"/>
      <w:bookmarkStart w:id="59" w:name="_Toc151193617"/>
      <w:bookmarkStart w:id="60" w:name="_Toc164229214"/>
      <w:bookmarkStart w:id="61" w:name="_Toc142311021"/>
      <w:bookmarkStart w:id="62" w:name="_Toc150509270"/>
      <w:bookmarkStart w:id="63" w:name="_Toc127151720"/>
      <w:bookmarkStart w:id="64" w:name="_Toc151193689"/>
      <w:bookmarkStart w:id="65" w:name="_Toc127151519"/>
      <w:bookmarkStart w:id="66" w:name="_Toc149720812"/>
      <w:bookmarkStart w:id="67" w:name="_Toc520356144"/>
      <w:bookmarkStart w:id="68" w:name="_Toc151193761"/>
      <w:bookmarkStart w:id="69" w:name="_Toc150774724"/>
      <w:bookmarkStart w:id="70" w:name="_Toc195842884"/>
      <w:bookmarkStart w:id="71" w:name="_Toc151193833"/>
      <w:bookmarkStart w:id="72" w:name="_Toc164229360"/>
      <w:bookmarkStart w:id="73" w:name="_Toc164351613"/>
      <w:bookmarkStart w:id="74" w:name="_Toc127161433"/>
      <w:r>
        <w:rPr>
          <w:rFonts w:eastAsiaTheme="minorEastAsia"/>
          <w:b/>
          <w:sz w:val="28"/>
          <w:szCs w:val="28"/>
        </w:rPr>
        <w:t>供应商须知资料表</w:t>
      </w:r>
    </w:p>
    <w:p>
      <w:pPr>
        <w:jc w:val="center"/>
        <w:rPr>
          <w:rFonts w:eastAsiaTheme="minorEastAsia"/>
          <w:b/>
          <w:sz w:val="28"/>
          <w:szCs w:val="28"/>
        </w:rPr>
      </w:pPr>
    </w:p>
    <w:p>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的选项意为适用于本项目，标记“□”的选项意为不适用于本项目。</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701"/>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031" w:type="dxa"/>
            <w:vAlign w:val="center"/>
          </w:tcPr>
          <w:p>
            <w:pPr>
              <w:jc w:val="center"/>
              <w:rPr>
                <w:rFonts w:eastAsiaTheme="minorEastAsia"/>
                <w:b/>
                <w:bCs/>
                <w:sz w:val="24"/>
              </w:rPr>
            </w:pPr>
            <w:r>
              <w:rPr>
                <w:rFonts w:eastAsiaTheme="minorEastAsia"/>
                <w:b/>
                <w:sz w:val="24"/>
              </w:rPr>
              <w:t>条款号</w:t>
            </w:r>
          </w:p>
        </w:tc>
        <w:tc>
          <w:tcPr>
            <w:tcW w:w="1701" w:type="dxa"/>
            <w:vAlign w:val="center"/>
          </w:tcPr>
          <w:p>
            <w:pPr>
              <w:jc w:val="center"/>
              <w:rPr>
                <w:rFonts w:eastAsiaTheme="minorEastAsia"/>
                <w:b/>
                <w:bCs/>
                <w:sz w:val="24"/>
              </w:rPr>
            </w:pPr>
            <w:r>
              <w:rPr>
                <w:rFonts w:eastAsiaTheme="minorEastAsia"/>
                <w:b/>
                <w:bCs/>
                <w:sz w:val="24"/>
              </w:rPr>
              <w:t>条目</w:t>
            </w:r>
          </w:p>
        </w:tc>
        <w:tc>
          <w:tcPr>
            <w:tcW w:w="7210" w:type="dxa"/>
            <w:vAlign w:val="center"/>
          </w:tcPr>
          <w:p>
            <w:pPr>
              <w:jc w:val="center"/>
              <w:rPr>
                <w:rFonts w:eastAsiaTheme="minorEastAsia"/>
                <w:b/>
                <w:bCs/>
                <w:sz w:val="24"/>
              </w:rPr>
            </w:pPr>
            <w:r>
              <w:rPr>
                <w:rFonts w:eastAsiaTheme="minorEastAsia"/>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pPr>
              <w:jc w:val="center"/>
              <w:rPr>
                <w:rFonts w:eastAsiaTheme="minorEastAsia"/>
                <w:sz w:val="24"/>
              </w:rPr>
            </w:pPr>
            <w:r>
              <w:rPr>
                <w:rFonts w:eastAsiaTheme="minorEastAsia"/>
                <w:sz w:val="24"/>
              </w:rPr>
              <w:t>科研仪器设备</w:t>
            </w:r>
          </w:p>
        </w:tc>
        <w:tc>
          <w:tcPr>
            <w:tcW w:w="7210" w:type="dxa"/>
            <w:vAlign w:val="center"/>
          </w:tcPr>
          <w:p>
            <w:pPr>
              <w:jc w:val="left"/>
              <w:rPr>
                <w:rFonts w:eastAsiaTheme="minorEastAsia"/>
                <w:sz w:val="24"/>
              </w:rPr>
            </w:pPr>
            <w:r>
              <w:rPr>
                <w:rFonts w:eastAsiaTheme="minorEastAsia"/>
                <w:sz w:val="24"/>
              </w:rPr>
              <w:t>是否属于科研仪器设备采购项目：否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3.2.5</w:t>
            </w:r>
          </w:p>
        </w:tc>
        <w:tc>
          <w:tcPr>
            <w:tcW w:w="1701" w:type="dxa"/>
            <w:vAlign w:val="center"/>
          </w:tcPr>
          <w:p>
            <w:pPr>
              <w:jc w:val="center"/>
              <w:rPr>
                <w:rFonts w:eastAsiaTheme="minorEastAsia"/>
                <w:sz w:val="24"/>
              </w:rPr>
            </w:pPr>
            <w:r>
              <w:rPr>
                <w:rFonts w:eastAsiaTheme="minorEastAsia"/>
                <w:sz w:val="24"/>
              </w:rPr>
              <w:t>标的所属行业</w:t>
            </w:r>
          </w:p>
        </w:tc>
        <w:tc>
          <w:tcPr>
            <w:tcW w:w="7210" w:type="dxa"/>
            <w:vAlign w:val="center"/>
          </w:tcPr>
          <w:p>
            <w:pPr>
              <w:jc w:val="left"/>
              <w:rPr>
                <w:rFonts w:eastAsiaTheme="minorEastAsia"/>
                <w:sz w:val="24"/>
              </w:rPr>
            </w:pPr>
            <w:r>
              <w:rPr>
                <w:rFonts w:eastAsiaTheme="minorEastAsia"/>
                <w:sz w:val="24"/>
              </w:rPr>
              <w:t>本项目采购标的对应的中小企业划分标准所属行业：</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eastAsiaTheme="minorEastAsia"/>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bCs/>
                      <w:sz w:val="24"/>
                      <w:lang w:val="en-US" w:eastAsia="zh-CN"/>
                    </w:rPr>
                  </w:pPr>
                  <w:r>
                    <w:rPr>
                      <w:rFonts w:hint="eastAsia" w:eastAsiaTheme="minorEastAsia"/>
                      <w:bCs/>
                      <w:sz w:val="24"/>
                      <w:lang w:val="en-US" w:eastAsia="zh-CN"/>
                    </w:rPr>
                    <w:t>屏蔽线</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24"/>
                    </w:rPr>
                  </w:pPr>
                  <w:r>
                    <w:rPr>
                      <w:rFonts w:hint="eastAsia" w:eastAsiaTheme="minorEastAsia"/>
                      <w:kern w:val="0"/>
                      <w:sz w:val="24"/>
                    </w:rPr>
                    <w:t>工业</w:t>
                  </w:r>
                </w:p>
              </w:tc>
            </w:tr>
          </w:tbl>
          <w:p>
            <w:pPr>
              <w:jc w:val="left"/>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9.2</w:t>
            </w:r>
          </w:p>
        </w:tc>
        <w:tc>
          <w:tcPr>
            <w:tcW w:w="1701" w:type="dxa"/>
            <w:vAlign w:val="center"/>
          </w:tcPr>
          <w:p>
            <w:pPr>
              <w:jc w:val="center"/>
              <w:rPr>
                <w:rFonts w:eastAsiaTheme="minorEastAsia"/>
                <w:sz w:val="24"/>
              </w:rPr>
            </w:pPr>
            <w:r>
              <w:rPr>
                <w:rFonts w:eastAsiaTheme="minorEastAsia"/>
                <w:sz w:val="24"/>
              </w:rPr>
              <w:t>报价</w:t>
            </w:r>
          </w:p>
        </w:tc>
        <w:tc>
          <w:tcPr>
            <w:tcW w:w="7210" w:type="dxa"/>
            <w:vAlign w:val="center"/>
          </w:tcPr>
          <w:p>
            <w:pPr>
              <w:jc w:val="left"/>
              <w:rPr>
                <w:rFonts w:eastAsiaTheme="minorEastAsia"/>
                <w:sz w:val="24"/>
              </w:rPr>
            </w:pPr>
            <w:r>
              <w:rPr>
                <w:rFonts w:eastAsiaTheme="minorEastAsia"/>
                <w:sz w:val="24"/>
              </w:rPr>
              <w:t>报价的特殊规定：无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10.1</w:t>
            </w:r>
          </w:p>
        </w:tc>
        <w:tc>
          <w:tcPr>
            <w:tcW w:w="1701" w:type="dxa"/>
            <w:vMerge w:val="restart"/>
            <w:vAlign w:val="center"/>
          </w:tcPr>
          <w:p>
            <w:pPr>
              <w:jc w:val="center"/>
              <w:rPr>
                <w:rFonts w:eastAsiaTheme="minorEastAsia"/>
                <w:sz w:val="24"/>
              </w:rPr>
            </w:pPr>
            <w:r>
              <w:rPr>
                <w:rFonts w:eastAsiaTheme="minorEastAsia"/>
                <w:sz w:val="24"/>
              </w:rPr>
              <w:t>保证金</w:t>
            </w:r>
          </w:p>
        </w:tc>
        <w:tc>
          <w:tcPr>
            <w:tcW w:w="7210" w:type="dxa"/>
            <w:vAlign w:val="center"/>
          </w:tcPr>
          <w:p>
            <w:pPr>
              <w:pStyle w:val="28"/>
              <w:adjustRightInd w:val="0"/>
              <w:snapToGrid w:val="0"/>
              <w:rPr>
                <w:rFonts w:hint="default" w:ascii="Times New Roman" w:hAnsi="Times New Roman" w:eastAsiaTheme="minorEastAsia"/>
                <w:sz w:val="24"/>
                <w:u w:val="single"/>
              </w:rPr>
            </w:pPr>
            <w:r>
              <w:rPr>
                <w:rFonts w:hint="default" w:ascii="Times New Roman" w:hAnsi="Times New Roman" w:eastAsiaTheme="minorEastAsia"/>
                <w:sz w:val="24"/>
                <w:szCs w:val="24"/>
              </w:rPr>
              <w:t>保证金金额：</w:t>
            </w:r>
            <w:r>
              <w:rPr>
                <w:rFonts w:ascii="Times New Roman" w:hAnsi="Times New Roman" w:eastAsiaTheme="minorEastAsia"/>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10.7</w:t>
            </w:r>
            <w:r>
              <w:rPr>
                <w:rFonts w:ascii="Times New Roman" w:hAnsi="Times New Roman" w:eastAsiaTheme="minorEastAsia"/>
                <w:sz w:val="24"/>
                <w:szCs w:val="24"/>
              </w:rPr>
              <w:t>.5</w:t>
            </w:r>
          </w:p>
        </w:tc>
        <w:tc>
          <w:tcPr>
            <w:tcW w:w="1701" w:type="dxa"/>
            <w:vMerge w:val="continue"/>
            <w:vAlign w:val="center"/>
          </w:tcPr>
          <w:p>
            <w:pPr>
              <w:jc w:val="center"/>
              <w:rPr>
                <w:rFonts w:eastAsiaTheme="minorEastAsia"/>
                <w:sz w:val="24"/>
              </w:rPr>
            </w:pPr>
          </w:p>
        </w:tc>
        <w:tc>
          <w:tcPr>
            <w:tcW w:w="7210" w:type="dxa"/>
            <w:vAlign w:val="center"/>
          </w:tcPr>
          <w:p>
            <w:pPr>
              <w:jc w:val="left"/>
              <w:rPr>
                <w:rFonts w:eastAsiaTheme="minorEastAsia"/>
                <w:sz w:val="24"/>
              </w:rPr>
            </w:pPr>
            <w:r>
              <w:rPr>
                <w:rFonts w:eastAsiaTheme="minorEastAsia"/>
                <w:sz w:val="24"/>
              </w:rPr>
              <w:t>保证金不予退还的其他情形：无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11.1</w:t>
            </w:r>
          </w:p>
        </w:tc>
        <w:tc>
          <w:tcPr>
            <w:tcW w:w="1701" w:type="dxa"/>
            <w:vAlign w:val="center"/>
          </w:tcPr>
          <w:p>
            <w:pPr>
              <w:jc w:val="center"/>
              <w:rPr>
                <w:rFonts w:eastAsiaTheme="minorEastAsia"/>
                <w:sz w:val="24"/>
              </w:rPr>
            </w:pPr>
            <w:r>
              <w:rPr>
                <w:rFonts w:eastAsiaTheme="minorEastAsia"/>
                <w:sz w:val="24"/>
              </w:rPr>
              <w:t>响应有效期</w:t>
            </w:r>
          </w:p>
        </w:tc>
        <w:tc>
          <w:tcPr>
            <w:tcW w:w="7210" w:type="dxa"/>
            <w:vAlign w:val="center"/>
          </w:tcPr>
          <w:p>
            <w:pPr>
              <w:jc w:val="left"/>
              <w:rPr>
                <w:rFonts w:eastAsiaTheme="minorEastAsia"/>
                <w:sz w:val="24"/>
              </w:rPr>
            </w:pPr>
            <w:r>
              <w:rPr>
                <w:rFonts w:eastAsiaTheme="minorEastAsia"/>
                <w:sz w:val="24"/>
              </w:rPr>
              <w:t>自提交响应文件的截止之日起算</w:t>
            </w:r>
            <w:r>
              <w:rPr>
                <w:rFonts w:eastAsiaTheme="minorEastAsia"/>
                <w:sz w:val="24"/>
                <w:u w:val="single"/>
              </w:rPr>
              <w:t>60</w:t>
            </w:r>
            <w:r>
              <w:rPr>
                <w:rFonts w:eastAsia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16.1</w:t>
            </w:r>
          </w:p>
        </w:tc>
        <w:tc>
          <w:tcPr>
            <w:tcW w:w="1701" w:type="dxa"/>
            <w:vAlign w:val="center"/>
          </w:tcPr>
          <w:p>
            <w:pPr>
              <w:jc w:val="center"/>
              <w:rPr>
                <w:rFonts w:eastAsiaTheme="minorEastAsia"/>
                <w:sz w:val="24"/>
              </w:rPr>
            </w:pPr>
            <w:r>
              <w:rPr>
                <w:rFonts w:hint="eastAsia" w:eastAsiaTheme="minorEastAsia"/>
                <w:sz w:val="24"/>
              </w:rPr>
              <w:t>开启</w:t>
            </w:r>
            <w:r>
              <w:rPr>
                <w:rFonts w:eastAsiaTheme="minorEastAsia"/>
                <w:sz w:val="24"/>
              </w:rPr>
              <w:t>地点</w:t>
            </w:r>
          </w:p>
        </w:tc>
        <w:tc>
          <w:tcPr>
            <w:tcW w:w="7210" w:type="dxa"/>
            <w:vAlign w:val="center"/>
          </w:tcPr>
          <w:p>
            <w:pPr>
              <w:jc w:val="left"/>
              <w:rPr>
                <w:rFonts w:eastAsiaTheme="minorEastAsia"/>
                <w:sz w:val="24"/>
              </w:rPr>
            </w:pPr>
            <w:r>
              <w:rPr>
                <w:rFonts w:eastAsiaTheme="minorEastAsia"/>
                <w:sz w:val="24"/>
              </w:rPr>
              <w:t>地点：</w:t>
            </w:r>
            <w:r>
              <w:rPr>
                <w:rFonts w:hint="eastAsia" w:eastAsiaTheme="minorEastAsia"/>
                <w:sz w:val="24"/>
              </w:rPr>
              <w:t>河北省廊坊市广阳区丰盛路1</w:t>
            </w:r>
            <w:r>
              <w:rPr>
                <w:rFonts w:eastAsiaTheme="minorEastAsia"/>
                <w:sz w:val="24"/>
              </w:rPr>
              <w:t>59</w:t>
            </w:r>
            <w:r>
              <w:rPr>
                <w:rFonts w:hint="eastAsia" w:eastAsiaTheme="minorEastAsia"/>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19.1</w:t>
            </w:r>
          </w:p>
        </w:tc>
        <w:tc>
          <w:tcPr>
            <w:tcW w:w="1701" w:type="dxa"/>
            <w:vAlign w:val="center"/>
          </w:tcPr>
          <w:p>
            <w:pPr>
              <w:jc w:val="center"/>
              <w:rPr>
                <w:rFonts w:eastAsiaTheme="minorEastAsia"/>
                <w:sz w:val="24"/>
              </w:rPr>
            </w:pPr>
            <w:r>
              <w:rPr>
                <w:rFonts w:eastAsiaTheme="minorEastAsia"/>
                <w:sz w:val="24"/>
              </w:rPr>
              <w:t>确定成交</w:t>
            </w:r>
          </w:p>
          <w:p>
            <w:pPr>
              <w:jc w:val="center"/>
              <w:rPr>
                <w:rFonts w:eastAsiaTheme="minorEastAsia"/>
                <w:sz w:val="24"/>
              </w:rPr>
            </w:pPr>
            <w:r>
              <w:rPr>
                <w:rFonts w:eastAsiaTheme="minorEastAsia"/>
                <w:sz w:val="24"/>
              </w:rPr>
              <w:t>供应商</w:t>
            </w:r>
          </w:p>
        </w:tc>
        <w:tc>
          <w:tcPr>
            <w:tcW w:w="7210" w:type="dxa"/>
            <w:vAlign w:val="center"/>
          </w:tcPr>
          <w:p>
            <w:pPr>
              <w:pStyle w:val="28"/>
              <w:adjustRightInd w:val="0"/>
              <w:snapToGrid w:val="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采购人是否授权询价小组直接确定成交供应商：否</w:t>
            </w:r>
          </w:p>
          <w:p>
            <w:pPr>
              <w:pStyle w:val="28"/>
              <w:adjustRightInd w:val="0"/>
              <w:snapToGrid w:val="0"/>
              <w:rPr>
                <w:rFonts w:hint="default" w:ascii="Times New Roman" w:hAnsi="Times New Roman" w:eastAsiaTheme="minorEastAsia"/>
                <w:sz w:val="24"/>
                <w:u w:val="single"/>
              </w:rPr>
            </w:pPr>
            <w:r>
              <w:rPr>
                <w:rFonts w:hint="default" w:ascii="Times New Roman" w:hAnsi="Times New Roman" w:cs="Times New Roman" w:eastAsiaTheme="minorEastAsia"/>
                <w:kern w:val="2"/>
                <w:sz w:val="24"/>
                <w:szCs w:val="24"/>
                <w:lang w:val="en-US" w:eastAsia="zh-CN" w:bidi="ar-SA"/>
              </w:rPr>
              <w:t xml:space="preserve">成交候选人并列的，按照以下方式确定成交供应商： </w:t>
            </w:r>
            <w:r>
              <w:rPr>
                <w:rFonts w:hint="default" w:ascii="Times New Roman" w:hAnsi="Times New Roman" w:cs="Times New Roman" w:eastAsiaTheme="minorEastAsia"/>
                <w:kern w:val="2"/>
                <w:sz w:val="24"/>
                <w:szCs w:val="24"/>
                <w:u w:val="single"/>
                <w:lang w:val="en-US" w:eastAsia="zh-CN" w:bidi="ar-SA"/>
              </w:rPr>
              <w:t>递交响应文件先后顺序</w:t>
            </w:r>
            <w:r>
              <w:rPr>
                <w:rFonts w:hint="default" w:ascii="Times New Roman" w:hAnsi="Times New Roman" w:cs="Times New Roman" w:eastAsiaTheme="minorEastAsia"/>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22.5</w:t>
            </w:r>
          </w:p>
        </w:tc>
        <w:tc>
          <w:tcPr>
            <w:tcW w:w="1701" w:type="dxa"/>
            <w:vAlign w:val="center"/>
          </w:tcPr>
          <w:p>
            <w:pPr>
              <w:jc w:val="center"/>
              <w:rPr>
                <w:rFonts w:eastAsiaTheme="minorEastAsia"/>
                <w:sz w:val="24"/>
              </w:rPr>
            </w:pPr>
            <w:r>
              <w:rPr>
                <w:rFonts w:eastAsiaTheme="minorEastAsia"/>
                <w:sz w:val="24"/>
              </w:rPr>
              <w:t>分包</w:t>
            </w:r>
          </w:p>
        </w:tc>
        <w:tc>
          <w:tcPr>
            <w:tcW w:w="7210" w:type="dxa"/>
            <w:vAlign w:val="center"/>
          </w:tcPr>
          <w:p>
            <w:pPr>
              <w:jc w:val="left"/>
              <w:rPr>
                <w:rFonts w:eastAsiaTheme="minorEastAsia"/>
                <w:sz w:val="24"/>
              </w:rPr>
            </w:pPr>
            <w:r>
              <w:rPr>
                <w:rFonts w:eastAsiaTheme="minorEastAsia"/>
                <w:sz w:val="24"/>
              </w:rPr>
              <w:t>本项目是否允许分包：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23.1.1</w:t>
            </w:r>
          </w:p>
        </w:tc>
        <w:tc>
          <w:tcPr>
            <w:tcW w:w="1701" w:type="dxa"/>
            <w:vAlign w:val="center"/>
          </w:tcPr>
          <w:p>
            <w:pPr>
              <w:jc w:val="center"/>
              <w:rPr>
                <w:rFonts w:eastAsiaTheme="minorEastAsia"/>
                <w:sz w:val="24"/>
              </w:rPr>
            </w:pPr>
            <w:r>
              <w:rPr>
                <w:rFonts w:eastAsiaTheme="minorEastAsia"/>
                <w:sz w:val="24"/>
              </w:rPr>
              <w:t>询问</w:t>
            </w:r>
          </w:p>
        </w:tc>
        <w:tc>
          <w:tcPr>
            <w:tcW w:w="7210" w:type="dxa"/>
            <w:vAlign w:val="center"/>
          </w:tcPr>
          <w:p>
            <w:pPr>
              <w:jc w:val="left"/>
              <w:rPr>
                <w:rFonts w:eastAsiaTheme="minorEastAsia"/>
                <w:sz w:val="24"/>
                <w:highlight w:val="none"/>
              </w:rPr>
            </w:pPr>
            <w:r>
              <w:rPr>
                <w:rFonts w:eastAsiaTheme="minorEastAsia"/>
                <w:sz w:val="24"/>
                <w:highlight w:val="none"/>
              </w:rPr>
              <w:t>询问送达形式：</w:t>
            </w:r>
            <w:r>
              <w:rPr>
                <w:rFonts w:hint="eastAsia" w:eastAsiaTheme="minorEastAsia"/>
                <w:sz w:val="24"/>
                <w:highlight w:val="none"/>
              </w:rPr>
              <w:t>电话或书面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23.3</w:t>
            </w:r>
          </w:p>
        </w:tc>
        <w:tc>
          <w:tcPr>
            <w:tcW w:w="1701" w:type="dxa"/>
            <w:vAlign w:val="center"/>
          </w:tcPr>
          <w:p>
            <w:pPr>
              <w:jc w:val="center"/>
              <w:rPr>
                <w:rFonts w:eastAsiaTheme="minorEastAsia"/>
                <w:sz w:val="24"/>
              </w:rPr>
            </w:pPr>
            <w:r>
              <w:rPr>
                <w:rFonts w:eastAsiaTheme="minorEastAsia"/>
                <w:sz w:val="24"/>
              </w:rPr>
              <w:t>联系方式</w:t>
            </w:r>
          </w:p>
        </w:tc>
        <w:tc>
          <w:tcPr>
            <w:tcW w:w="7210" w:type="dxa"/>
            <w:vAlign w:val="center"/>
          </w:tcPr>
          <w:p>
            <w:pPr>
              <w:jc w:val="left"/>
              <w:rPr>
                <w:rFonts w:eastAsiaTheme="minorEastAsia"/>
                <w:sz w:val="24"/>
              </w:rPr>
            </w:pPr>
            <w:r>
              <w:rPr>
                <w:rFonts w:eastAsiaTheme="minorEastAsia"/>
                <w:sz w:val="24"/>
              </w:rPr>
              <w:t>接收询问和质疑的联系方式</w:t>
            </w:r>
          </w:p>
          <w:p>
            <w:pPr>
              <w:jc w:val="left"/>
              <w:rPr>
                <w:rFonts w:eastAsiaTheme="minorEastAsia"/>
                <w:sz w:val="24"/>
              </w:rPr>
            </w:pPr>
            <w:r>
              <w:rPr>
                <w:rFonts w:eastAsiaTheme="minorEastAsia"/>
                <w:sz w:val="24"/>
              </w:rPr>
              <w:t>联系部门：</w:t>
            </w:r>
            <w:r>
              <w:rPr>
                <w:rFonts w:hint="eastAsia" w:eastAsiaTheme="minorEastAsia"/>
                <w:sz w:val="24"/>
              </w:rPr>
              <w:t>地球物理调查中心装备基建室</w:t>
            </w:r>
            <w:r>
              <w:rPr>
                <w:rFonts w:eastAsiaTheme="minorEastAsia"/>
                <w:sz w:val="24"/>
              </w:rPr>
              <w:t>；</w:t>
            </w:r>
          </w:p>
          <w:p>
            <w:pPr>
              <w:jc w:val="left"/>
              <w:rPr>
                <w:rFonts w:eastAsiaTheme="minorEastAsia"/>
                <w:sz w:val="24"/>
              </w:rPr>
            </w:pPr>
            <w:r>
              <w:rPr>
                <w:rFonts w:eastAsiaTheme="minorEastAsia"/>
                <w:sz w:val="24"/>
              </w:rPr>
              <w:t>联系电话：0316-5202757；</w:t>
            </w:r>
          </w:p>
          <w:p>
            <w:pPr>
              <w:jc w:val="left"/>
              <w:rPr>
                <w:rFonts w:eastAsiaTheme="minorEastAsia"/>
                <w:sz w:val="24"/>
              </w:rPr>
            </w:pPr>
            <w:r>
              <w:rPr>
                <w:rFonts w:eastAsiaTheme="minorEastAsia"/>
                <w:sz w:val="24"/>
              </w:rPr>
              <w:t>通讯地址：</w:t>
            </w:r>
            <w:r>
              <w:rPr>
                <w:rFonts w:hint="eastAsia" w:eastAsiaTheme="minorEastAsia"/>
                <w:sz w:val="24"/>
                <w:u w:val="single"/>
              </w:rPr>
              <w:t>河北省廊坊市广阳区丰盛路159号</w:t>
            </w:r>
            <w:r>
              <w:rPr>
                <w:rFonts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pStyle w:val="28"/>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w:t>
            </w:r>
          </w:p>
        </w:tc>
        <w:tc>
          <w:tcPr>
            <w:tcW w:w="1701" w:type="dxa"/>
            <w:vAlign w:val="center"/>
          </w:tcPr>
          <w:p>
            <w:pPr>
              <w:jc w:val="center"/>
              <w:rPr>
                <w:rFonts w:eastAsiaTheme="minorEastAsia"/>
                <w:sz w:val="24"/>
              </w:rPr>
            </w:pPr>
            <w:r>
              <w:rPr>
                <w:rFonts w:eastAsiaTheme="minorEastAsia"/>
                <w:sz w:val="24"/>
              </w:rPr>
              <w:t>代理费</w:t>
            </w:r>
          </w:p>
        </w:tc>
        <w:tc>
          <w:tcPr>
            <w:tcW w:w="7210" w:type="dxa"/>
            <w:vAlign w:val="center"/>
          </w:tcPr>
          <w:p>
            <w:pPr>
              <w:jc w:val="left"/>
              <w:rPr>
                <w:rFonts w:eastAsiaTheme="minorEastAsia"/>
                <w:sz w:val="24"/>
              </w:rPr>
            </w:pPr>
            <w:r>
              <w:rPr>
                <w:rFonts w:hint="eastAsia" w:eastAsiaTheme="minorEastAsia"/>
                <w:sz w:val="24"/>
              </w:rPr>
              <w:t>无</w:t>
            </w:r>
          </w:p>
        </w:tc>
      </w:tr>
    </w:tbl>
    <w:p>
      <w:pPr>
        <w:tabs>
          <w:tab w:val="left" w:pos="5580"/>
        </w:tabs>
        <w:adjustRightInd w:val="0"/>
        <w:spacing w:line="360" w:lineRule="auto"/>
        <w:jc w:val="distribute"/>
        <w:rPr>
          <w:rFonts w:eastAsiaTheme="minorEastAsia"/>
          <w:sz w:val="24"/>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rFonts w:eastAsiaTheme="minorEastAsia"/>
          <w:b/>
          <w:sz w:val="28"/>
          <w:szCs w:val="28"/>
        </w:rPr>
      </w:pPr>
      <w:r>
        <w:rPr>
          <w:rFonts w:eastAsiaTheme="minorEastAsia"/>
          <w:b/>
          <w:sz w:val="28"/>
          <w:szCs w:val="28"/>
        </w:rPr>
        <w:t>供应商须知</w:t>
      </w:r>
    </w:p>
    <w:p>
      <w:pPr>
        <w:pStyle w:val="8"/>
        <w:tabs>
          <w:tab w:val="center" w:pos="4592"/>
          <w:tab w:val="left" w:pos="7860"/>
        </w:tabs>
        <w:spacing w:before="0" w:line="360" w:lineRule="auto"/>
        <w:jc w:val="left"/>
        <w:rPr>
          <w:rFonts w:ascii="Times New Roman" w:hAnsi="Times New Roman" w:eastAsiaTheme="minorEastAsia"/>
          <w:sz w:val="28"/>
        </w:rPr>
      </w:pPr>
      <w:bookmarkStart w:id="75" w:name="_Toc127151518"/>
      <w:bookmarkStart w:id="76" w:name="_Toc520356143"/>
      <w:r>
        <w:rPr>
          <w:rFonts w:ascii="Times New Roman" w:hAnsi="Times New Roman" w:eastAsiaTheme="minorEastAsia"/>
          <w:sz w:val="28"/>
        </w:rPr>
        <w:tab/>
      </w:r>
      <w:bookmarkStart w:id="77" w:name="_Toc150509269"/>
      <w:bookmarkStart w:id="78" w:name="_Toc226337214"/>
      <w:bookmarkStart w:id="79" w:name="_Toc195842883"/>
      <w:bookmarkStart w:id="80" w:name="_Toc226965791"/>
      <w:bookmarkStart w:id="81" w:name="_Toc305158786"/>
      <w:bookmarkStart w:id="82" w:name="_Toc226965708"/>
      <w:bookmarkStart w:id="83" w:name="_Toc151193832"/>
      <w:bookmarkStart w:id="84" w:name="_Toc265228356"/>
      <w:bookmarkStart w:id="85" w:name="_Toc151193760"/>
      <w:bookmarkStart w:id="86" w:name="_Toc142311020"/>
      <w:bookmarkStart w:id="87" w:name="_Toc226309762"/>
      <w:bookmarkStart w:id="88" w:name="_Toc151193688"/>
      <w:bookmarkStart w:id="89" w:name="_Toc150480756"/>
      <w:bookmarkStart w:id="90" w:name="_Toc150774618"/>
      <w:bookmarkStart w:id="91" w:name="_Toc151193906"/>
      <w:bookmarkStart w:id="92" w:name="_Toc150774723"/>
      <w:bookmarkStart w:id="93" w:name="_Toc151193616"/>
      <w:bookmarkStart w:id="94" w:name="_Toc151190145"/>
      <w:bookmarkStart w:id="95" w:name="_Toc264969208"/>
      <w:bookmarkStart w:id="96" w:name="_Toc305158860"/>
      <w:r>
        <w:rPr>
          <w:rFonts w:ascii="Times New Roman" w:hAnsi="Times New Roman" w:eastAsiaTheme="minorEastAsia"/>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eastAsiaTheme="minorEastAsia"/>
          <w:sz w:val="28"/>
        </w:rPr>
        <w:tab/>
      </w:r>
    </w:p>
    <w:p>
      <w:pPr>
        <w:numPr>
          <w:ilvl w:val="0"/>
          <w:numId w:val="8"/>
        </w:numPr>
        <w:tabs>
          <w:tab w:val="left" w:pos="360"/>
          <w:tab w:val="clear" w:pos="900"/>
        </w:tabs>
        <w:snapToGrid w:val="0"/>
        <w:spacing w:line="360" w:lineRule="auto"/>
        <w:ind w:left="357" w:hanging="357"/>
        <w:outlineLvl w:val="1"/>
        <w:rPr>
          <w:rFonts w:eastAsiaTheme="minorEastAsia"/>
          <w:sz w:val="24"/>
        </w:rPr>
      </w:pPr>
      <w:bookmarkStart w:id="97" w:name="_Toc264969209"/>
      <w:bookmarkStart w:id="98" w:name="_Toc305158787"/>
      <w:bookmarkStart w:id="99" w:name="_Toc305158861"/>
      <w:bookmarkStart w:id="100" w:name="_Toc265228357"/>
      <w:r>
        <w:rPr>
          <w:rFonts w:eastAsiaTheme="minorEastAsia"/>
          <w:sz w:val="24"/>
        </w:rPr>
        <w:t>采购人、采购代理机构、供应商（申请人）</w:t>
      </w:r>
      <w:bookmarkEnd w:id="97"/>
      <w:bookmarkEnd w:id="98"/>
      <w:bookmarkEnd w:id="99"/>
      <w:bookmarkEnd w:id="100"/>
      <w:r>
        <w:rPr>
          <w:rFonts w:eastAsiaTheme="minorEastAsia"/>
          <w:sz w:val="24"/>
        </w:rPr>
        <w:t>、联合体</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rFonts w:eastAsiaTheme="minorEastAsia"/>
          <w:sz w:val="24"/>
        </w:rPr>
      </w:pPr>
      <w:bookmarkStart w:id="101" w:name="_Toc151193618"/>
      <w:bookmarkStart w:id="102" w:name="_Toc150480758"/>
      <w:bookmarkStart w:id="103" w:name="_Toc164608789"/>
      <w:bookmarkStart w:id="104" w:name="_Toc265228358"/>
      <w:bookmarkStart w:id="105" w:name="_Toc164351614"/>
      <w:bookmarkStart w:id="106" w:name="_Toc164608634"/>
      <w:bookmarkStart w:id="107" w:name="_Toc151193762"/>
      <w:bookmarkStart w:id="108" w:name="_Toc151193908"/>
      <w:bookmarkStart w:id="109" w:name="_Toc305158788"/>
      <w:bookmarkStart w:id="110" w:name="_Toc149720813"/>
      <w:bookmarkStart w:id="111" w:name="_Toc164229361"/>
      <w:bookmarkStart w:id="112" w:name="_Toc305158862"/>
      <w:bookmarkStart w:id="113" w:name="_Toc151193834"/>
      <w:bookmarkStart w:id="114" w:name="_Toc226965793"/>
      <w:bookmarkStart w:id="115" w:name="_Toc151190147"/>
      <w:bookmarkStart w:id="116" w:name="_Toc142311022"/>
      <w:bookmarkStart w:id="117" w:name="_Toc127161434"/>
      <w:bookmarkStart w:id="118" w:name="_Toc127151520"/>
      <w:bookmarkStart w:id="119" w:name="_Toc226337216"/>
      <w:bookmarkStart w:id="120" w:name="_Toc151193690"/>
      <w:bookmarkStart w:id="121" w:name="_Toc164229215"/>
      <w:bookmarkStart w:id="122" w:name="_Toc150774725"/>
      <w:bookmarkStart w:id="123" w:name="_Toc127151721"/>
      <w:bookmarkStart w:id="124" w:name="_Toc150774620"/>
      <w:bookmarkStart w:id="125" w:name="_Toc150509271"/>
      <w:bookmarkStart w:id="126" w:name="_Toc226309764"/>
      <w:bookmarkStart w:id="127" w:name="_Toc195842885"/>
      <w:bookmarkStart w:id="128" w:name="_Toc264969210"/>
      <w:bookmarkStart w:id="129" w:name="_Toc226965710"/>
      <w:r>
        <w:rPr>
          <w:rFonts w:eastAsiaTheme="minorEastAsia"/>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eastAsiaTheme="minorEastAsia"/>
          <w:sz w:val="24"/>
        </w:rPr>
        <w:t>、科研仪器设备采购</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pPr>
        <w:numPr>
          <w:ilvl w:val="0"/>
          <w:numId w:val="8"/>
        </w:numPr>
        <w:tabs>
          <w:tab w:val="left" w:pos="360"/>
          <w:tab w:val="clear" w:pos="900"/>
        </w:tabs>
        <w:snapToGrid w:val="0"/>
        <w:spacing w:line="360" w:lineRule="auto"/>
        <w:ind w:left="357" w:hanging="357"/>
        <w:outlineLvl w:val="1"/>
        <w:rPr>
          <w:rFonts w:eastAsiaTheme="minorEastAsia"/>
          <w:sz w:val="24"/>
        </w:rPr>
      </w:pPr>
      <w:bookmarkStart w:id="130" w:name="_Toc226337218"/>
      <w:bookmarkStart w:id="131" w:name="_Toc264969212"/>
      <w:bookmarkStart w:id="132" w:name="_Toc226309766"/>
      <w:bookmarkStart w:id="133" w:name="_Toc305158790"/>
      <w:bookmarkStart w:id="134" w:name="_Toc142311024"/>
      <w:bookmarkStart w:id="135" w:name="_Toc226965712"/>
      <w:bookmarkStart w:id="136" w:name="_Toc151193764"/>
      <w:bookmarkStart w:id="137" w:name="_Toc150509273"/>
      <w:bookmarkStart w:id="138" w:name="_Toc151193620"/>
      <w:bookmarkStart w:id="139" w:name="_Toc520356146"/>
      <w:bookmarkStart w:id="140" w:name="_Toc226965795"/>
      <w:bookmarkStart w:id="141" w:name="_Toc151193836"/>
      <w:bookmarkStart w:id="142" w:name="_Toc151193910"/>
      <w:bookmarkStart w:id="143" w:name="_Toc150480760"/>
      <w:bookmarkStart w:id="144" w:name="_Toc150774622"/>
      <w:bookmarkStart w:id="145" w:name="_Toc150774727"/>
      <w:bookmarkStart w:id="146" w:name="_Toc195842887"/>
      <w:bookmarkStart w:id="147" w:name="_Toc265228360"/>
      <w:bookmarkStart w:id="148" w:name="_Toc151190149"/>
      <w:bookmarkStart w:id="149" w:name="_Toc305158864"/>
      <w:bookmarkStart w:id="150" w:name="_Toc151193692"/>
      <w:bookmarkStart w:id="151" w:name="_Toc127151522"/>
      <w:r>
        <w:rPr>
          <w:rFonts w:eastAsiaTheme="minorEastAsia"/>
          <w:sz w:val="24"/>
        </w:rPr>
        <w:t>政府采购政策（包括但不限于下列具体政策要求）</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进口产品</w:t>
      </w:r>
    </w:p>
    <w:p>
      <w:pPr>
        <w:numPr>
          <w:ilvl w:val="2"/>
          <w:numId w:val="8"/>
        </w:numPr>
        <w:tabs>
          <w:tab w:val="left" w:pos="2014"/>
        </w:tabs>
        <w:snapToGrid w:val="0"/>
        <w:spacing w:line="360" w:lineRule="auto"/>
        <w:rPr>
          <w:rFonts w:eastAsiaTheme="minorEastAsia"/>
          <w:sz w:val="24"/>
        </w:rPr>
      </w:pPr>
      <w:r>
        <w:rPr>
          <w:rFonts w:eastAsiaTheme="minorEastAsia"/>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8"/>
        </w:numPr>
        <w:tabs>
          <w:tab w:val="left" w:pos="2014"/>
        </w:tabs>
        <w:snapToGrid w:val="0"/>
        <w:spacing w:line="360" w:lineRule="auto"/>
        <w:rPr>
          <w:rFonts w:eastAsiaTheme="minorEastAsia"/>
          <w:sz w:val="24"/>
        </w:rPr>
      </w:pPr>
      <w:r>
        <w:rPr>
          <w:rFonts w:eastAsiaTheme="minorEastAsia"/>
          <w:sz w:val="24"/>
        </w:rPr>
        <w:t>本项目是否接受进口产品见第四章《采购需求》。</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pPr>
        <w:numPr>
          <w:ilvl w:val="2"/>
          <w:numId w:val="8"/>
        </w:numPr>
        <w:snapToGrid w:val="0"/>
        <w:spacing w:line="360" w:lineRule="auto"/>
        <w:rPr>
          <w:rFonts w:eastAsiaTheme="minorEastAsia"/>
          <w:sz w:val="24"/>
        </w:rPr>
      </w:pPr>
      <w:r>
        <w:rPr>
          <w:rFonts w:eastAsiaTheme="minorEastAsia"/>
          <w:sz w:val="24"/>
        </w:rPr>
        <w:t>中小企业定义：</w:t>
      </w:r>
    </w:p>
    <w:p>
      <w:pPr>
        <w:numPr>
          <w:ilvl w:val="3"/>
          <w:numId w:val="8"/>
        </w:numPr>
        <w:tabs>
          <w:tab w:val="left" w:pos="1980"/>
          <w:tab w:val="left" w:pos="2035"/>
          <w:tab w:val="left" w:pos="2977"/>
        </w:tabs>
        <w:snapToGrid w:val="0"/>
        <w:spacing w:line="360" w:lineRule="auto"/>
        <w:ind w:left="2885"/>
        <w:rPr>
          <w:rFonts w:eastAsiaTheme="minorEastAsia"/>
          <w:sz w:val="24"/>
        </w:rPr>
      </w:pPr>
      <w:r>
        <w:rPr>
          <w:rFonts w:eastAsiaTheme="minor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供应商提供的货物、工程或者服务符合下列情形的，享受中小企业扶持政策：</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pPr>
        <w:numPr>
          <w:ilvl w:val="3"/>
          <w:numId w:val="8"/>
        </w:numPr>
        <w:tabs>
          <w:tab w:val="left" w:pos="1980"/>
          <w:tab w:val="left" w:pos="203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pPr>
        <w:numPr>
          <w:ilvl w:val="3"/>
          <w:numId w:val="8"/>
        </w:numPr>
        <w:tabs>
          <w:tab w:val="left" w:pos="1980"/>
          <w:tab w:val="left" w:pos="2035"/>
          <w:tab w:val="left" w:pos="2977"/>
        </w:tabs>
        <w:snapToGrid w:val="0"/>
        <w:spacing w:line="360" w:lineRule="auto"/>
        <w:ind w:left="2885"/>
        <w:rPr>
          <w:rFonts w:eastAsiaTheme="minorEastAsia"/>
          <w:sz w:val="24"/>
        </w:rPr>
      </w:pP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eastAsiaTheme="minorEastAsia"/>
          <w:sz w:val="24"/>
        </w:rPr>
      </w:pP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eastAsiaTheme="minorEastAsia"/>
          <w:sz w:val="24"/>
        </w:rPr>
      </w:pPr>
      <w:r>
        <w:rPr>
          <w:rFonts w:eastAsiaTheme="minorEastAsia"/>
          <w:sz w:val="24"/>
        </w:rPr>
        <w:t>残疾人福利单位定义：享受政府采购支持政策的残疾人福利性单位应当同时满足以下条件：</w:t>
      </w:r>
    </w:p>
    <w:p>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依法与安置的每位残疾人签订了一年以上（含一年）的劳动合同或服务协议；</w:t>
      </w:r>
    </w:p>
    <w:p>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为安置的每位残疾人按月足额缴纳了基本养老保险、基本医疗保险、失业保险、工伤保险和生育保险等社会保险费；</w:t>
      </w:r>
    </w:p>
    <w:p>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通过银行等金融机构向安置的每位残疾人，按月支付了不低于单位所在区县适用的经省级人民政府批准的月最低工资标准的工资；</w:t>
      </w:r>
    </w:p>
    <w:p>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小微企业价格评审优惠的政策调整：见第三章《评审程序和评定成交的标准》。</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将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如本项目采购产品属于实施政府强制采购品目清单范围的节能产品，则供应商所报产品必须获得国家确定的认证机构出具的、处于有效期之内的节能产品认证证书，否则</w:t>
      </w:r>
      <w:r>
        <w:rPr>
          <w:rFonts w:eastAsiaTheme="minorEastAsia"/>
          <w:b/>
          <w:sz w:val="24"/>
        </w:rPr>
        <w:t>响应无效</w:t>
      </w:r>
      <w:r>
        <w:rPr>
          <w:rFonts w:eastAsiaTheme="minorEastAsia"/>
          <w:sz w:val="24"/>
        </w:rPr>
        <w:t>；</w:t>
      </w:r>
    </w:p>
    <w:p>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非政府强制采购的节能产品或环境标志产品，依据品目清单和认证证书实施政府优先采购。优先采购的具体规定见第三章《评审程序和评定成交的标准》（如涉及）。</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支持乡村产业振兴管理</w:t>
      </w:r>
    </w:p>
    <w:p>
      <w:pPr>
        <w:numPr>
          <w:ilvl w:val="2"/>
          <w:numId w:val="8"/>
        </w:numPr>
        <w:tabs>
          <w:tab w:val="left" w:pos="2014"/>
        </w:tabs>
        <w:snapToGrid w:val="0"/>
        <w:spacing w:line="360" w:lineRule="auto"/>
        <w:rPr>
          <w:rFonts w:eastAsiaTheme="minorEastAsia"/>
          <w:sz w:val="24"/>
        </w:rPr>
      </w:pPr>
      <w:r>
        <w:rPr>
          <w:rFonts w:eastAsiaTheme="minorEastAsia"/>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pPr>
        <w:numPr>
          <w:ilvl w:val="2"/>
          <w:numId w:val="8"/>
        </w:numPr>
        <w:snapToGrid w:val="0"/>
        <w:spacing w:line="360" w:lineRule="auto"/>
        <w:rPr>
          <w:rFonts w:eastAsiaTheme="minorEastAsia"/>
          <w:sz w:val="24"/>
        </w:rPr>
      </w:pPr>
      <w:r>
        <w:rPr>
          <w:rFonts w:eastAsiaTheme="minor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eastAsiaTheme="minorEastAsia"/>
          <w:b/>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信息安全产品</w:t>
      </w:r>
    </w:p>
    <w:p>
      <w:pPr>
        <w:numPr>
          <w:ilvl w:val="2"/>
          <w:numId w:val="8"/>
        </w:numPr>
        <w:tabs>
          <w:tab w:val="left" w:pos="2014"/>
        </w:tabs>
        <w:snapToGrid w:val="0"/>
        <w:spacing w:line="360" w:lineRule="auto"/>
        <w:rPr>
          <w:rFonts w:eastAsiaTheme="minorEastAsia"/>
          <w:sz w:val="24"/>
        </w:rPr>
      </w:pPr>
      <w:r>
        <w:rPr>
          <w:rFonts w:eastAsiaTheme="minorEastAsia"/>
          <w:sz w:val="24"/>
        </w:rPr>
        <w:t>所投产品属于《关于调整信息安全产品强制性认证实施要求的公告》（2009 年第33 号）范围的，采购经国家认证的信息安全产品，否则</w:t>
      </w:r>
      <w:r>
        <w:rPr>
          <w:rFonts w:eastAsiaTheme="minorEastAsia"/>
          <w:b/>
          <w:sz w:val="24"/>
        </w:rPr>
        <w:t>响应无效</w:t>
      </w:r>
      <w:r>
        <w:rPr>
          <w:rFonts w:eastAsiaTheme="minorEastAsia"/>
          <w:sz w:val="24"/>
        </w:rPr>
        <w:t>。关于信息安全相关规定依据《关于信息安全产品实施政府采购的通知》（财库〔2010〕48 号）。</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供应商应自行承担所有与准备和参加询价采购有关的费用，无论询价采购响应的结果如何，采购人或采购代理机构在任何情况下均无承担这些费用的义务和责任。</w:t>
      </w:r>
    </w:p>
    <w:p>
      <w:pPr>
        <w:tabs>
          <w:tab w:val="left" w:pos="1080"/>
        </w:tabs>
        <w:snapToGrid w:val="0"/>
        <w:spacing w:line="360" w:lineRule="auto"/>
        <w:ind w:left="1080"/>
        <w:rPr>
          <w:rFonts w:eastAsiaTheme="minorEastAsia"/>
          <w:sz w:val="28"/>
        </w:rPr>
      </w:pPr>
      <w:bookmarkStart w:id="152" w:name="_1.8_计量单位"/>
      <w:bookmarkEnd w:id="152"/>
    </w:p>
    <w:p>
      <w:pPr>
        <w:pStyle w:val="8"/>
        <w:spacing w:before="0" w:line="360" w:lineRule="auto"/>
        <w:rPr>
          <w:rFonts w:ascii="Times New Roman" w:hAnsi="Times New Roman" w:eastAsiaTheme="minorEastAsia"/>
          <w:sz w:val="28"/>
        </w:rPr>
      </w:pPr>
      <w:r>
        <w:rPr>
          <w:rFonts w:ascii="Times New Roman" w:hAnsi="Times New Roman" w:eastAsiaTheme="minorEastAsia"/>
          <w:sz w:val="28"/>
        </w:rPr>
        <w:t>二   询价通知书</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numPr>
          <w:ilvl w:val="0"/>
          <w:numId w:val="8"/>
        </w:numPr>
        <w:tabs>
          <w:tab w:val="left" w:pos="360"/>
        </w:tabs>
        <w:snapToGrid w:val="0"/>
        <w:spacing w:line="360" w:lineRule="auto"/>
        <w:ind w:left="357" w:hanging="357"/>
        <w:outlineLvl w:val="1"/>
        <w:rPr>
          <w:rFonts w:eastAsiaTheme="minorEastAsia"/>
          <w:sz w:val="24"/>
        </w:rPr>
      </w:pPr>
      <w:bookmarkStart w:id="153" w:name="_Toc226337219"/>
      <w:bookmarkStart w:id="154" w:name="_Toc150774728"/>
      <w:bookmarkStart w:id="155" w:name="_Toc164229364"/>
      <w:bookmarkStart w:id="156" w:name="_Toc164608637"/>
      <w:bookmarkStart w:id="157" w:name="_Toc151190150"/>
      <w:bookmarkStart w:id="158" w:name="_Toc305158791"/>
      <w:bookmarkStart w:id="159" w:name="_Toc127161437"/>
      <w:bookmarkStart w:id="160" w:name="_Toc264969213"/>
      <w:bookmarkStart w:id="161" w:name="_Toc164351617"/>
      <w:bookmarkStart w:id="162" w:name="_Toc151193837"/>
      <w:bookmarkStart w:id="163" w:name="_Toc305158865"/>
      <w:bookmarkStart w:id="164" w:name="_Toc149720816"/>
      <w:bookmarkStart w:id="165" w:name="_Toc127151523"/>
      <w:bookmarkStart w:id="166" w:name="_Toc520356147"/>
      <w:bookmarkStart w:id="167" w:name="_Toc265228361"/>
      <w:bookmarkStart w:id="168" w:name="_Toc226965796"/>
      <w:bookmarkStart w:id="169" w:name="_Toc151193621"/>
      <w:bookmarkStart w:id="170" w:name="_Toc127151724"/>
      <w:bookmarkStart w:id="171" w:name="_Toc226309767"/>
      <w:bookmarkStart w:id="172" w:name="_Toc150774623"/>
      <w:bookmarkStart w:id="173" w:name="_Toc150509274"/>
      <w:bookmarkStart w:id="174" w:name="_Toc164608792"/>
      <w:bookmarkStart w:id="175" w:name="_Toc164229218"/>
      <w:bookmarkStart w:id="176" w:name="_Toc150480761"/>
      <w:bookmarkStart w:id="177" w:name="_Toc151193911"/>
      <w:bookmarkStart w:id="178" w:name="_Toc142311025"/>
      <w:bookmarkStart w:id="179" w:name="_Toc151193693"/>
      <w:bookmarkStart w:id="180" w:name="_Toc195842888"/>
      <w:bookmarkStart w:id="181" w:name="_Toc151193765"/>
      <w:bookmarkStart w:id="182" w:name="_Toc226965713"/>
      <w:r>
        <w:rPr>
          <w:rFonts w:eastAsiaTheme="minorEastAsia"/>
          <w:sz w:val="24"/>
        </w:rPr>
        <w:t>询价通知书构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eastAsiaTheme="minorEastAsia"/>
          <w:sz w:val="24"/>
        </w:rPr>
        <w:t>成</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询价通知书包括以下部分：</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评审程序和评定成交的标准</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pPr>
        <w:numPr>
          <w:ilvl w:val="0"/>
          <w:numId w:val="9"/>
        </w:numPr>
        <w:tabs>
          <w:tab w:val="left" w:pos="1980"/>
          <w:tab w:val="left" w:pos="2520"/>
        </w:tabs>
        <w:snapToGrid w:val="0"/>
        <w:spacing w:line="360" w:lineRule="auto"/>
        <w:ind w:left="1440" w:firstLine="5"/>
        <w:rPr>
          <w:rFonts w:eastAsiaTheme="minorEastAsia"/>
          <w:sz w:val="24"/>
        </w:rPr>
      </w:pPr>
      <w:r>
        <w:rPr>
          <w:rFonts w:hint="eastAsia" w:eastAsiaTheme="minorEastAsia"/>
          <w:sz w:val="24"/>
        </w:rPr>
        <w:t>拟签订</w:t>
      </w:r>
      <w:r>
        <w:rPr>
          <w:rFonts w:eastAsiaTheme="minorEastAsia"/>
          <w:sz w:val="24"/>
        </w:rPr>
        <w:t>的合同文本</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供应商应认真阅读询价通知书的全部内容。供应商应按照询价通知书要求提交响应文件并保证所提供的全部资料的真实性，并对询价通知书做出实质性响应，否则</w:t>
      </w:r>
      <w:r>
        <w:rPr>
          <w:rFonts w:eastAsiaTheme="minorEastAsia"/>
          <w:b/>
          <w:sz w:val="24"/>
        </w:rPr>
        <w:t>响应无效</w:t>
      </w:r>
      <w:r>
        <w:rPr>
          <w:rFonts w:eastAsiaTheme="minorEastAsia"/>
          <w:sz w:val="24"/>
        </w:rPr>
        <w:t>。</w:t>
      </w:r>
    </w:p>
    <w:p>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对询价通知书的澄清或修改</w:t>
      </w:r>
    </w:p>
    <w:p>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采购人或采购代理机构对已发出的询价通知书进行必要澄清或者修改的，</w:t>
      </w:r>
      <w:r>
        <w:rPr>
          <w:rFonts w:hint="eastAsia" w:eastAsiaTheme="minorEastAsia"/>
          <w:sz w:val="24"/>
        </w:rPr>
        <w:t>将</w:t>
      </w:r>
      <w:r>
        <w:rPr>
          <w:rFonts w:eastAsiaTheme="minorEastAsia"/>
          <w:sz w:val="24"/>
        </w:rPr>
        <w:t>以书面形式通知所有获取询价通知书的潜在供应商。</w:t>
      </w:r>
      <w:r>
        <w:rPr>
          <w:rFonts w:hint="eastAsia" w:eastAsiaTheme="minorEastAsia"/>
          <w:sz w:val="24"/>
        </w:rPr>
        <w:t>采用公告方式邀请供应商参与的，还将</w:t>
      </w:r>
      <w:r>
        <w:rPr>
          <w:rFonts w:eastAsiaTheme="minorEastAsia"/>
          <w:sz w:val="24"/>
        </w:rPr>
        <w:t>在原公告发布媒体上发布更正公告</w:t>
      </w:r>
      <w:r>
        <w:rPr>
          <w:rFonts w:hint="eastAsia" w:eastAsiaTheme="minorEastAsia"/>
          <w:sz w:val="24"/>
        </w:rPr>
        <w:t>。</w:t>
      </w:r>
    </w:p>
    <w:p>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上述书面通知，按照获取询价通知书的潜在供应商提供的联系方式发出，因提供的信息有误导致通知延迟或无法通知的，采购人或采购代理机构不承担责任。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询价通知书的组成部分，并对所有获取询价通知书的潜在供应商具有约束力。澄清或者修改的内容可能影响响应文件编制的，将在提交响应文件截止之日3个工作日前，以书面形式通知所有接收询价通知书的供应商；不足3个工作日的，将顺延提交响应文件的截止之日。</w:t>
      </w:r>
    </w:p>
    <w:p>
      <w:pPr>
        <w:tabs>
          <w:tab w:val="left" w:pos="900"/>
          <w:tab w:val="left" w:pos="1080"/>
          <w:tab w:val="left" w:pos="1561"/>
          <w:tab w:val="left" w:pos="1589"/>
        </w:tabs>
        <w:snapToGrid w:val="0"/>
        <w:spacing w:line="360" w:lineRule="auto"/>
        <w:ind w:left="1080"/>
        <w:rPr>
          <w:rFonts w:eastAsiaTheme="minorEastAsia"/>
          <w:sz w:val="24"/>
        </w:rPr>
      </w:pPr>
    </w:p>
    <w:p>
      <w:pPr>
        <w:pStyle w:val="8"/>
        <w:spacing w:before="0" w:line="360" w:lineRule="auto"/>
        <w:rPr>
          <w:rFonts w:ascii="Times New Roman" w:hAnsi="Times New Roman" w:eastAsiaTheme="minorEastAsia"/>
          <w:sz w:val="28"/>
        </w:rPr>
      </w:pPr>
      <w:bookmarkStart w:id="183" w:name="_Toc516367020"/>
      <w:bookmarkStart w:id="184" w:name="_Toc142311028"/>
      <w:bookmarkStart w:id="185" w:name="_Toc150509277"/>
      <w:bookmarkStart w:id="186" w:name="_Toc151193914"/>
      <w:bookmarkStart w:id="187" w:name="_Toc150774731"/>
      <w:bookmarkStart w:id="188" w:name="_Toc226309770"/>
      <w:bookmarkStart w:id="189" w:name="_Toc151193768"/>
      <w:bookmarkStart w:id="190" w:name="_Toc226337222"/>
      <w:bookmarkStart w:id="191" w:name="_Toc264969216"/>
      <w:bookmarkStart w:id="192" w:name="_Toc151193840"/>
      <w:bookmarkStart w:id="193" w:name="_Toc127151526"/>
      <w:bookmarkStart w:id="194" w:name="_Toc151193624"/>
      <w:bookmarkStart w:id="195" w:name="_Toc226965799"/>
      <w:bookmarkStart w:id="196" w:name="_Toc150774626"/>
      <w:bookmarkStart w:id="197" w:name="_Toc520356150"/>
      <w:bookmarkStart w:id="198" w:name="_Toc151193696"/>
      <w:bookmarkStart w:id="199" w:name="_Toc150480764"/>
      <w:bookmarkStart w:id="200" w:name="_Toc226965716"/>
      <w:bookmarkStart w:id="201" w:name="_Toc305158794"/>
      <w:bookmarkStart w:id="202" w:name="_Toc151190153"/>
      <w:bookmarkStart w:id="203" w:name="_Toc305158868"/>
      <w:bookmarkStart w:id="204" w:name="_Toc265228364"/>
      <w:bookmarkStart w:id="205" w:name="_Toc195842891"/>
      <w:r>
        <w:rPr>
          <w:rFonts w:ascii="Times New Roman" w:hAnsi="Times New Roman" w:eastAsiaTheme="minorEastAsia"/>
          <w:sz w:val="28"/>
        </w:rPr>
        <w:t>三   响应文件</w:t>
      </w:r>
      <w:bookmarkEnd w:id="183"/>
      <w:r>
        <w:rPr>
          <w:rFonts w:ascii="Times New Roman" w:hAnsi="Times New Roman" w:eastAsiaTheme="minorEastAsia"/>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numPr>
          <w:ilvl w:val="0"/>
          <w:numId w:val="8"/>
        </w:numPr>
        <w:tabs>
          <w:tab w:val="left" w:pos="360"/>
        </w:tabs>
        <w:snapToGrid w:val="0"/>
        <w:spacing w:line="360" w:lineRule="auto"/>
        <w:ind w:left="357" w:hanging="357"/>
        <w:outlineLvl w:val="1"/>
        <w:rPr>
          <w:rFonts w:eastAsiaTheme="minorEastAsia"/>
          <w:sz w:val="24"/>
        </w:rPr>
      </w:pPr>
      <w:bookmarkStart w:id="206" w:name="_Toc164229368"/>
      <w:bookmarkStart w:id="207" w:name="_Toc151193841"/>
      <w:bookmarkStart w:id="208" w:name="_Toc305158869"/>
      <w:bookmarkStart w:id="209" w:name="_Toc151193769"/>
      <w:bookmarkStart w:id="210" w:name="_Toc226309771"/>
      <w:bookmarkStart w:id="211" w:name="_Toc150509278"/>
      <w:bookmarkStart w:id="212" w:name="_Toc164229222"/>
      <w:bookmarkStart w:id="213" w:name="_Toc520356151"/>
      <w:bookmarkStart w:id="214" w:name="_Toc226337223"/>
      <w:bookmarkStart w:id="215" w:name="_Toc142311029"/>
      <w:bookmarkStart w:id="216" w:name="_Toc164608796"/>
      <w:bookmarkStart w:id="217" w:name="_Toc264969217"/>
      <w:bookmarkStart w:id="218" w:name="_Toc151193915"/>
      <w:bookmarkStart w:id="219" w:name="_Toc149720820"/>
      <w:bookmarkStart w:id="220" w:name="_Toc516367021"/>
      <w:bookmarkStart w:id="221" w:name="_Toc265228365"/>
      <w:bookmarkStart w:id="222" w:name="_Toc151190154"/>
      <w:bookmarkStart w:id="223" w:name="_Toc151193625"/>
      <w:bookmarkStart w:id="224" w:name="_Toc150774732"/>
      <w:bookmarkStart w:id="225" w:name="_Toc226965800"/>
      <w:bookmarkStart w:id="226" w:name="_Toc127161441"/>
      <w:bookmarkStart w:id="227" w:name="_Toc164351621"/>
      <w:bookmarkStart w:id="228" w:name="_Toc127151728"/>
      <w:bookmarkStart w:id="229" w:name="_Toc226965717"/>
      <w:bookmarkStart w:id="230" w:name="_Toc127151527"/>
      <w:bookmarkStart w:id="231" w:name="_Toc150480765"/>
      <w:bookmarkStart w:id="232" w:name="_Toc195842892"/>
      <w:bookmarkStart w:id="233" w:name="_Toc164608641"/>
      <w:bookmarkStart w:id="234" w:name="_Toc305158795"/>
      <w:bookmarkStart w:id="235" w:name="_Toc150774627"/>
      <w:bookmarkStart w:id="236" w:name="_Toc151193697"/>
      <w:r>
        <w:rPr>
          <w:rFonts w:eastAsiaTheme="minorEastAsia"/>
          <w:sz w:val="24"/>
        </w:rPr>
        <w:t>响应范围、响应文件中计量单位的使用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eastAsiaTheme="minorEastAsia"/>
          <w:sz w:val="24"/>
        </w:rPr>
        <w:t>及响应语言</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w:t>
      </w:r>
      <w:r>
        <w:rPr>
          <w:rFonts w:eastAsiaTheme="minorEastAsia"/>
          <w:sz w:val="24"/>
          <w:highlight w:val="none"/>
        </w:rPr>
        <w:t>分采购包，供应商可以对本项目的其中一个采购包进行响应，也可同时对多个采购包进行响应。供应商应当对所投采购包对应第四章《采购需求》所列的全部内容进行响应，不得将一个</w:t>
      </w:r>
      <w:r>
        <w:rPr>
          <w:rFonts w:eastAsiaTheme="minorEastAsia"/>
          <w:sz w:val="24"/>
        </w:rPr>
        <w:t>采购包中的内容拆开响应，否则其对该采购包的响应将被认定为</w:t>
      </w:r>
      <w:r>
        <w:rPr>
          <w:rFonts w:eastAsiaTheme="minorEastAsia"/>
          <w:b/>
          <w:sz w:val="24"/>
        </w:rPr>
        <w:t>无效响应</w:t>
      </w:r>
      <w:r>
        <w:rPr>
          <w:rFonts w:eastAsiaTheme="minorEastAsia"/>
          <w:sz w:val="24"/>
        </w:rPr>
        <w:t>。</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除询价通知书有特殊要求外，本项目响应所使用的计量单位，应采用中华人民共和国法定计量单位。</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rFonts w:eastAsiaTheme="minorEastAsia"/>
          <w:sz w:val="24"/>
        </w:rPr>
      </w:pPr>
      <w:bookmarkStart w:id="237" w:name="_Toc150774733"/>
      <w:bookmarkStart w:id="238" w:name="_Toc127161442"/>
      <w:bookmarkStart w:id="239" w:name="_Toc305158870"/>
      <w:bookmarkStart w:id="240" w:name="_Toc520356152"/>
      <w:bookmarkStart w:id="241" w:name="_Toc149720821"/>
      <w:bookmarkStart w:id="242" w:name="_Toc265228366"/>
      <w:bookmarkStart w:id="243" w:name="_Toc151193842"/>
      <w:bookmarkStart w:id="244" w:name="_Toc164608797"/>
      <w:bookmarkStart w:id="245" w:name="_Toc164351622"/>
      <w:bookmarkStart w:id="246" w:name="_Toc226337224"/>
      <w:bookmarkStart w:id="247" w:name="_Toc150509279"/>
      <w:bookmarkStart w:id="248" w:name="_Toc150774628"/>
      <w:bookmarkStart w:id="249" w:name="_Toc151193698"/>
      <w:bookmarkStart w:id="250" w:name="_Toc226965718"/>
      <w:bookmarkStart w:id="251" w:name="_Toc226965801"/>
      <w:bookmarkStart w:id="252" w:name="_Toc151193626"/>
      <w:bookmarkStart w:id="253" w:name="_Toc127151528"/>
      <w:bookmarkStart w:id="254" w:name="_Toc142311030"/>
      <w:bookmarkStart w:id="255" w:name="_Toc127151729"/>
      <w:bookmarkStart w:id="256" w:name="_Toc305158796"/>
      <w:bookmarkStart w:id="257" w:name="_Toc164229223"/>
      <w:bookmarkStart w:id="258" w:name="_Toc164229369"/>
      <w:bookmarkStart w:id="259" w:name="_Toc150480766"/>
      <w:bookmarkStart w:id="260" w:name="_Toc151193770"/>
      <w:bookmarkStart w:id="261" w:name="_Toc151190155"/>
      <w:bookmarkStart w:id="262" w:name="_Toc195842893"/>
      <w:bookmarkStart w:id="263" w:name="_Toc151193916"/>
      <w:bookmarkStart w:id="264" w:name="_Toc226309772"/>
      <w:bookmarkStart w:id="265" w:name="_Toc164608642"/>
      <w:bookmarkStart w:id="266" w:name="_Toc264969218"/>
      <w:r>
        <w:rPr>
          <w:rFonts w:eastAsiaTheme="minorEastAsia"/>
          <w:sz w:val="24"/>
        </w:rPr>
        <w:t>响应文件构成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numPr>
          <w:ilvl w:val="1"/>
          <w:numId w:val="8"/>
        </w:numPr>
        <w:tabs>
          <w:tab w:val="left" w:pos="1080"/>
          <w:tab w:val="left" w:pos="2014"/>
        </w:tabs>
        <w:snapToGrid w:val="0"/>
        <w:spacing w:line="360" w:lineRule="auto"/>
        <w:ind w:left="1077" w:hanging="720"/>
        <w:rPr>
          <w:rFonts w:eastAsiaTheme="minorEastAsia"/>
          <w:sz w:val="24"/>
        </w:rPr>
      </w:pPr>
      <w:bookmarkStart w:id="267" w:name="_Ref467052588"/>
      <w:r>
        <w:rPr>
          <w:rFonts w:eastAsiaTheme="minorEastAsia"/>
          <w:sz w:val="24"/>
        </w:rPr>
        <w:t>供应商应当按照询价通知书的要求编制响应文件。响应文件的部分格式要求，见第六章《响应文件格式》。</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对于询价通知书中标记了“实质性格式”文件的，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kern w:val="0"/>
          <w:sz w:val="24"/>
        </w:rPr>
        <w:t>否则</w:t>
      </w:r>
      <w:r>
        <w:rPr>
          <w:rFonts w:eastAsiaTheme="minorEastAsia"/>
          <w:b/>
          <w:kern w:val="0"/>
          <w:sz w:val="24"/>
        </w:rPr>
        <w:t>响应无效</w:t>
      </w:r>
      <w:r>
        <w:rPr>
          <w:rFonts w:eastAsiaTheme="minorEastAsia"/>
          <w:kern w:val="0"/>
          <w:sz w:val="24"/>
        </w:rPr>
        <w:t>。未标记“实质性格式”的文件和询价通知书未提供格式的内容，可由供应商自行编写。</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第三章《评审程序和评定成交的标准》中涉及的证明文件。</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7"/>
    </w:p>
    <w:p>
      <w:pPr>
        <w:numPr>
          <w:ilvl w:val="0"/>
          <w:numId w:val="8"/>
        </w:numPr>
        <w:tabs>
          <w:tab w:val="left" w:pos="360"/>
        </w:tabs>
        <w:snapToGrid w:val="0"/>
        <w:spacing w:line="360" w:lineRule="auto"/>
        <w:ind w:left="357" w:hanging="357"/>
        <w:outlineLvl w:val="1"/>
        <w:rPr>
          <w:rFonts w:eastAsiaTheme="minorEastAsia"/>
          <w:sz w:val="24"/>
        </w:rPr>
      </w:pPr>
      <w:bookmarkStart w:id="268" w:name="_Toc164608799"/>
      <w:bookmarkStart w:id="269" w:name="_Toc151193700"/>
      <w:bookmarkStart w:id="270" w:name="_Toc164229225"/>
      <w:bookmarkStart w:id="271" w:name="_Toc151193628"/>
      <w:bookmarkStart w:id="272" w:name="_Toc150509281"/>
      <w:bookmarkStart w:id="273" w:name="_Toc127161444"/>
      <w:bookmarkStart w:id="274" w:name="_Toc520356155"/>
      <w:bookmarkStart w:id="275" w:name="_Toc127151530"/>
      <w:bookmarkStart w:id="276" w:name="_Toc151193844"/>
      <w:bookmarkStart w:id="277" w:name="_Toc151193918"/>
      <w:bookmarkStart w:id="278" w:name="_Toc127151731"/>
      <w:bookmarkStart w:id="279" w:name="_Toc142311032"/>
      <w:bookmarkStart w:id="280" w:name="_Toc150774630"/>
      <w:bookmarkStart w:id="281" w:name="_Toc164608644"/>
      <w:bookmarkStart w:id="282" w:name="_Toc150480768"/>
      <w:bookmarkStart w:id="283" w:name="_Toc150774735"/>
      <w:bookmarkStart w:id="284" w:name="_Toc164351624"/>
      <w:bookmarkStart w:id="285" w:name="_Toc195842895"/>
      <w:bookmarkStart w:id="286" w:name="_Toc149720823"/>
      <w:bookmarkStart w:id="287" w:name="_Toc151190157"/>
      <w:bookmarkStart w:id="288" w:name="_Toc151193772"/>
      <w:bookmarkStart w:id="289" w:name="_Toc164229371"/>
      <w:r>
        <w:rPr>
          <w:rFonts w:eastAsiaTheme="minorEastAsia"/>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供应商的报价应包括为完成本项目所发生的一切费用和税费，采购人将不再支付报价以外的任何费用。</w:t>
      </w:r>
      <w:r>
        <w:rPr>
          <w:rFonts w:hint="eastAsia" w:eastAsiaTheme="minorEastAsia"/>
          <w:sz w:val="24"/>
        </w:rPr>
        <w:t>供应商的报价应包括但不限于下列内容，《供应商须知资料表》中有特殊规定的，从其规定。</w:t>
      </w:r>
    </w:p>
    <w:p>
      <w:pPr>
        <w:numPr>
          <w:ilvl w:val="2"/>
          <w:numId w:val="8"/>
        </w:numPr>
        <w:tabs>
          <w:tab w:val="left" w:pos="2014"/>
        </w:tabs>
        <w:snapToGrid w:val="0"/>
        <w:spacing w:line="360" w:lineRule="auto"/>
        <w:rPr>
          <w:rFonts w:eastAsiaTheme="minorEastAsia"/>
          <w:sz w:val="24"/>
        </w:rPr>
      </w:pPr>
      <w:r>
        <w:rPr>
          <w:rFonts w:eastAsiaTheme="minorEastAsia"/>
          <w:sz w:val="24"/>
        </w:rPr>
        <w:t>响应的货物及标准附件、备品备件、专用工具等的出厂价（包括已在中国国内的进口货物完税后的仓库交货价、展室交货价或货架交货价）和运至最终目的地的运输费和保险费，安装调试、检验、技术服务、培训、质量保证、售后服务、税费等费用；</w:t>
      </w:r>
    </w:p>
    <w:p>
      <w:pPr>
        <w:numPr>
          <w:ilvl w:val="2"/>
          <w:numId w:val="8"/>
        </w:numPr>
        <w:tabs>
          <w:tab w:val="left" w:pos="2014"/>
        </w:tabs>
        <w:snapToGrid w:val="0"/>
        <w:spacing w:line="360" w:lineRule="auto"/>
        <w:rPr>
          <w:rFonts w:eastAsiaTheme="minorEastAsia"/>
          <w:sz w:val="24"/>
        </w:rPr>
      </w:pPr>
      <w:r>
        <w:rPr>
          <w:rFonts w:eastAsiaTheme="minorEastAsia"/>
          <w:sz w:val="24"/>
        </w:rPr>
        <w:t xml:space="preserve">按照询价通知书要求完成本项目的全部相关服务费用。 </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供应商应当按照询价通知书的规定一次报出不得更改的价格。供应商不能提供任何有选择性或可调整的报价，否则其</w:t>
      </w:r>
      <w:r>
        <w:rPr>
          <w:rFonts w:eastAsiaTheme="minorEastAsia"/>
          <w:b/>
          <w:sz w:val="24"/>
        </w:rPr>
        <w:t>响应无效</w:t>
      </w:r>
      <w:r>
        <w:rPr>
          <w:rFonts w:eastAsiaTheme="minorEastAsia"/>
          <w:sz w:val="24"/>
        </w:rPr>
        <w:t>。</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保证金</w:t>
      </w:r>
    </w:p>
    <w:p>
      <w:pPr>
        <w:numPr>
          <w:ilvl w:val="1"/>
          <w:numId w:val="8"/>
        </w:numPr>
        <w:tabs>
          <w:tab w:val="left" w:pos="1080"/>
          <w:tab w:val="left" w:pos="2014"/>
        </w:tabs>
        <w:snapToGrid w:val="0"/>
        <w:spacing w:line="360" w:lineRule="auto"/>
        <w:ind w:left="1077" w:hanging="720"/>
        <w:rPr>
          <w:rFonts w:eastAsiaTheme="minorEastAsia"/>
          <w:sz w:val="24"/>
        </w:rPr>
      </w:pPr>
      <w:bookmarkStart w:id="290" w:name="_Ref467306302"/>
      <w:r>
        <w:rPr>
          <w:rFonts w:eastAsiaTheme="minorEastAsia"/>
          <w:sz w:val="24"/>
        </w:rPr>
        <w:t>供应商应按《供应商须知资料表》中规定的金额及要求交纳保证金</w:t>
      </w:r>
      <w:bookmarkEnd w:id="290"/>
      <w:r>
        <w:rPr>
          <w:rFonts w:eastAsiaTheme="minorEastAsia"/>
          <w:sz w:val="24"/>
        </w:rPr>
        <w:t>，并作为其响应的一部分。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保证金到账（保函提交）截止时间同提交响应文件截止时间。</w:t>
      </w:r>
      <w:r>
        <w:rPr>
          <w:sz w:val="24"/>
        </w:rPr>
        <w:t>以支票、汇票、本票、网上银行支付等形式提交保证金的，应在提交响应文件截止时间前</w:t>
      </w:r>
      <w:r>
        <w:rPr>
          <w:rFonts w:hint="eastAsia" w:eastAsiaTheme="minorEastAsia"/>
          <w:sz w:val="24"/>
        </w:rPr>
        <w:t>到账</w:t>
      </w:r>
      <w:r>
        <w:rPr>
          <w:rFonts w:eastAsiaTheme="minorEastAsia"/>
          <w:sz w:val="24"/>
        </w:rPr>
        <w:t>；</w:t>
      </w:r>
      <w:r>
        <w:rPr>
          <w:rFonts w:hint="eastAsia"/>
          <w:sz w:val="24"/>
        </w:rPr>
        <w:t>以</w:t>
      </w:r>
      <w:r>
        <w:rPr>
          <w:sz w:val="24"/>
        </w:rPr>
        <w:t>金融机构、担保机构出具的保函等形式提交保证金的，应在提交响应文件截止时间前将原件提交至采购代理机构；由于</w:t>
      </w:r>
      <w:r>
        <w:rPr>
          <w:rFonts w:hint="eastAsia"/>
          <w:sz w:val="24"/>
        </w:rPr>
        <w:t>到账时间</w:t>
      </w:r>
      <w:r>
        <w:rPr>
          <w:sz w:val="24"/>
        </w:rPr>
        <w:t>晚于提交响应文件截止时间的，或者票据错误、印鉴不清等原因导致不能到账的，其</w:t>
      </w:r>
      <w:r>
        <w:rPr>
          <w:b/>
          <w:bCs/>
          <w:sz w:val="24"/>
        </w:rPr>
        <w:t>响应无效</w:t>
      </w:r>
      <w:r>
        <w:rPr>
          <w:rFonts w:hint="eastAsia"/>
          <w:b/>
          <w:bCs/>
          <w:sz w:val="24"/>
        </w:rPr>
        <w:t>。</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保证金（保函）有效期同响应有效期。</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联合体响应的，可以由联合体中的一方或者共同提交保证金，以一方名义提交保证金的，对联合体各方均具有约束力。</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rFonts w:eastAsiaTheme="minorEastAsia"/>
          <w:sz w:val="24"/>
        </w:rPr>
      </w:pPr>
      <w:r>
        <w:rPr>
          <w:rFonts w:eastAsiaTheme="minorEastAsia"/>
          <w:sz w:val="24"/>
        </w:rPr>
        <w:t>成交供应商的保证金，自采购合同签订之日起5个工作日内退还成交供应商；</w:t>
      </w:r>
    </w:p>
    <w:p>
      <w:pPr>
        <w:numPr>
          <w:ilvl w:val="2"/>
          <w:numId w:val="8"/>
        </w:numPr>
        <w:snapToGrid w:val="0"/>
        <w:spacing w:line="360" w:lineRule="auto"/>
        <w:rPr>
          <w:rFonts w:eastAsiaTheme="minorEastAsia"/>
          <w:sz w:val="24"/>
        </w:rPr>
      </w:pPr>
      <w:r>
        <w:rPr>
          <w:rFonts w:eastAsiaTheme="minorEastAsia"/>
          <w:sz w:val="24"/>
        </w:rPr>
        <w:t>未成交供应商的保证金，自成交通知书发出之日起5个工作日内退还未成交供应商；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有下列情形之一的，采购人或采购代理机构不予退还保证金：</w:t>
      </w:r>
    </w:p>
    <w:p>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pPr>
        <w:numPr>
          <w:ilvl w:val="2"/>
          <w:numId w:val="8"/>
        </w:numPr>
        <w:snapToGrid w:val="0"/>
        <w:spacing w:line="360" w:lineRule="auto"/>
        <w:rPr>
          <w:rFonts w:eastAsiaTheme="minorEastAsia"/>
          <w:sz w:val="24"/>
        </w:rPr>
      </w:pPr>
      <w:r>
        <w:rPr>
          <w:rFonts w:eastAsiaTheme="minorEastAsia"/>
          <w:sz w:val="24"/>
        </w:rPr>
        <w:t>除因不可抗力或询价通知书认可的情形以外，成交供应商不与采购人签订合同的</w:t>
      </w:r>
      <w:r>
        <w:rPr>
          <w:rFonts w:hint="eastAsia" w:eastAsiaTheme="minorEastAsia"/>
          <w:sz w:val="24"/>
        </w:rPr>
        <w:t>；</w:t>
      </w:r>
    </w:p>
    <w:p>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pPr>
        <w:numPr>
          <w:ilvl w:val="2"/>
          <w:numId w:val="8"/>
        </w:numPr>
        <w:tabs>
          <w:tab w:val="left" w:pos="900"/>
          <w:tab w:val="left" w:pos="1080"/>
          <w:tab w:val="left" w:pos="2014"/>
        </w:tabs>
        <w:snapToGrid w:val="0"/>
        <w:spacing w:line="360" w:lineRule="auto"/>
        <w:rPr>
          <w:rFonts w:eastAsiaTheme="minorEastAsia"/>
          <w:sz w:val="24"/>
        </w:rPr>
      </w:pPr>
      <w:r>
        <w:rPr>
          <w:rFonts w:eastAsiaTheme="minorEastAsia"/>
          <w:sz w:val="24"/>
        </w:rPr>
        <w:t>《供应商须知资料表》中规定的其他情形。</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响应文件应在本询价通知书《供应商须知资料表》中规定的响应有效期内保持有效，响应有效期少于询价通知书规定期限的，其</w:t>
      </w:r>
      <w:r>
        <w:rPr>
          <w:rFonts w:eastAsiaTheme="minorEastAsia"/>
          <w:b/>
          <w:sz w:val="24"/>
        </w:rPr>
        <w:t>响应无效</w:t>
      </w:r>
      <w:r>
        <w:rPr>
          <w:rFonts w:eastAsiaTheme="minorEastAsia"/>
          <w:sz w:val="24"/>
        </w:rPr>
        <w:t>。</w:t>
      </w:r>
    </w:p>
    <w:p>
      <w:pPr>
        <w:numPr>
          <w:ilvl w:val="0"/>
          <w:numId w:val="8"/>
        </w:numPr>
        <w:tabs>
          <w:tab w:val="left" w:pos="360"/>
        </w:tabs>
        <w:snapToGrid w:val="0"/>
        <w:spacing w:line="360" w:lineRule="auto"/>
        <w:ind w:left="357" w:hanging="357"/>
        <w:outlineLvl w:val="1"/>
        <w:rPr>
          <w:rFonts w:eastAsiaTheme="minorEastAsia"/>
          <w:sz w:val="24"/>
        </w:rPr>
      </w:pPr>
      <w:bookmarkStart w:id="291" w:name="_Toc164608647"/>
      <w:bookmarkStart w:id="292" w:name="_Toc150774633"/>
      <w:bookmarkStart w:id="293" w:name="_Toc226309777"/>
      <w:bookmarkStart w:id="294" w:name="_Toc226337229"/>
      <w:bookmarkStart w:id="295" w:name="_Toc305158875"/>
      <w:bookmarkStart w:id="296" w:name="_Toc226965806"/>
      <w:bookmarkStart w:id="297" w:name="_Toc264969223"/>
      <w:bookmarkStart w:id="298" w:name="_Toc127161447"/>
      <w:bookmarkStart w:id="299" w:name="_Toc151193631"/>
      <w:bookmarkStart w:id="300" w:name="_Toc164608802"/>
      <w:bookmarkStart w:id="301" w:name="_Toc150480771"/>
      <w:bookmarkStart w:id="302" w:name="_Toc142311035"/>
      <w:bookmarkStart w:id="303" w:name="_Toc127151734"/>
      <w:bookmarkStart w:id="304" w:name="_Toc265228371"/>
      <w:bookmarkStart w:id="305" w:name="_Toc305158801"/>
      <w:bookmarkStart w:id="306" w:name="_Toc151193775"/>
      <w:bookmarkStart w:id="307" w:name="_Toc195842898"/>
      <w:bookmarkStart w:id="308" w:name="_Toc164229374"/>
      <w:bookmarkStart w:id="309" w:name="_Toc151190160"/>
      <w:bookmarkStart w:id="310" w:name="_Toc150509284"/>
      <w:bookmarkStart w:id="311" w:name="_Toc151193921"/>
      <w:bookmarkStart w:id="312" w:name="_Toc149720826"/>
      <w:bookmarkStart w:id="313" w:name="_Toc151193703"/>
      <w:bookmarkStart w:id="314" w:name="_Toc127151533"/>
      <w:bookmarkStart w:id="315" w:name="_Toc151193847"/>
      <w:bookmarkStart w:id="316" w:name="_Toc226965723"/>
      <w:bookmarkStart w:id="317" w:name="_Toc164229228"/>
      <w:bookmarkStart w:id="318" w:name="_Toc150774738"/>
      <w:bookmarkStart w:id="319" w:name="_Toc520356158"/>
      <w:bookmarkStart w:id="320" w:name="_Toc164351627"/>
      <w:r>
        <w:rPr>
          <w:rFonts w:eastAsiaTheme="minorEastAsia"/>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eastAsiaTheme="minorEastAsia"/>
          <w:sz w:val="24"/>
        </w:rPr>
        <w:t>、盖章</w:t>
      </w:r>
    </w:p>
    <w:p>
      <w:pPr>
        <w:numPr>
          <w:ilvl w:val="1"/>
          <w:numId w:val="8"/>
        </w:numPr>
        <w:tabs>
          <w:tab w:val="left" w:pos="1080"/>
          <w:tab w:val="left" w:pos="2014"/>
        </w:tabs>
        <w:snapToGrid w:val="0"/>
        <w:spacing w:line="360" w:lineRule="auto"/>
        <w:ind w:left="1077" w:hanging="720"/>
        <w:rPr>
          <w:rFonts w:eastAsiaTheme="minorEastAsia"/>
          <w:sz w:val="24"/>
        </w:rPr>
      </w:pPr>
      <w:bookmarkStart w:id="321" w:name="_Toc151193922"/>
      <w:bookmarkStart w:id="322" w:name="_Toc195842899"/>
      <w:bookmarkStart w:id="323" w:name="_Toc520356159"/>
      <w:bookmarkStart w:id="324" w:name="_Toc150774739"/>
      <w:bookmarkStart w:id="325" w:name="_Toc151193776"/>
      <w:bookmarkStart w:id="326" w:name="_Toc226965724"/>
      <w:bookmarkStart w:id="327" w:name="_Toc127151534"/>
      <w:bookmarkStart w:id="328" w:name="_Toc150509285"/>
      <w:bookmarkStart w:id="329" w:name="_Toc151193704"/>
      <w:bookmarkStart w:id="330" w:name="_Toc150774634"/>
      <w:bookmarkStart w:id="331" w:name="_Toc151193632"/>
      <w:bookmarkStart w:id="332" w:name="_Toc226309778"/>
      <w:bookmarkStart w:id="333" w:name="_Toc142311036"/>
      <w:bookmarkStart w:id="334" w:name="_Toc305158802"/>
      <w:bookmarkStart w:id="335" w:name="_Toc151193848"/>
      <w:bookmarkStart w:id="336" w:name="_Toc226965807"/>
      <w:bookmarkStart w:id="337" w:name="_Toc226337230"/>
      <w:bookmarkStart w:id="338" w:name="_Toc305158876"/>
      <w:bookmarkStart w:id="339" w:name="_Toc151190161"/>
      <w:bookmarkStart w:id="340" w:name="_Toc264969224"/>
      <w:bookmarkStart w:id="341" w:name="_Toc150480772"/>
      <w:bookmarkStart w:id="342" w:name="_Toc265228372"/>
      <w:r>
        <w:rPr>
          <w:rFonts w:eastAsiaTheme="minorEastAsia"/>
          <w:sz w:val="24"/>
        </w:rPr>
        <w:t>询价通知书要求签字的内容（如授权委托书等），</w:t>
      </w:r>
      <w:r>
        <w:rPr>
          <w:rFonts w:hint="eastAsia" w:eastAsiaTheme="minorEastAsia"/>
          <w:sz w:val="24"/>
        </w:rPr>
        <w:t>应使用原件；要求</w:t>
      </w:r>
      <w:r>
        <w:rPr>
          <w:rFonts w:eastAsiaTheme="minorEastAsia"/>
          <w:sz w:val="24"/>
        </w:rPr>
        <w:t>第三方出具的盖章件原件（如联合协议、分包意向协议、制造商授权书等），响应文件中应使用原件的</w:t>
      </w:r>
      <w:r>
        <w:rPr>
          <w:rFonts w:hint="eastAsia" w:eastAsiaTheme="minorEastAsia"/>
          <w:sz w:val="24"/>
        </w:rPr>
        <w:t>扫描件</w:t>
      </w:r>
      <w:r>
        <w:rPr>
          <w:rFonts w:eastAsiaTheme="minorEastAsia"/>
          <w:sz w:val="24"/>
        </w:rPr>
        <w:t>。</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询价通知书要求盖章的内容，</w:t>
      </w:r>
      <w:r>
        <w:rPr>
          <w:rFonts w:hint="eastAsia" w:eastAsiaTheme="minorEastAsia"/>
          <w:sz w:val="24"/>
        </w:rPr>
        <w:t>在规定位置加盖供应商公章</w:t>
      </w:r>
      <w:r>
        <w:rPr>
          <w:rFonts w:eastAsiaTheme="minorEastAsia"/>
          <w:sz w:val="24"/>
        </w:rPr>
        <w:t>。</w:t>
      </w:r>
    </w:p>
    <w:p>
      <w:pPr>
        <w:tabs>
          <w:tab w:val="left" w:pos="900"/>
          <w:tab w:val="left" w:pos="1080"/>
        </w:tabs>
        <w:snapToGrid w:val="0"/>
        <w:spacing w:line="360" w:lineRule="auto"/>
        <w:ind w:left="357"/>
        <w:rPr>
          <w:rFonts w:eastAsiaTheme="minorEastAsia"/>
        </w:rPr>
      </w:pPr>
    </w:p>
    <w:p>
      <w:pPr>
        <w:pStyle w:val="8"/>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numPr>
          <w:ilvl w:val="0"/>
          <w:numId w:val="8"/>
        </w:numPr>
        <w:tabs>
          <w:tab w:val="left" w:pos="360"/>
        </w:tabs>
        <w:snapToGrid w:val="0"/>
        <w:spacing w:line="360" w:lineRule="auto"/>
        <w:ind w:left="357" w:hanging="357"/>
        <w:outlineLvl w:val="1"/>
        <w:rPr>
          <w:rFonts w:eastAsiaTheme="minorEastAsia"/>
          <w:sz w:val="24"/>
        </w:rPr>
      </w:pPr>
      <w:bookmarkStart w:id="343" w:name="_Toc226965808"/>
      <w:bookmarkStart w:id="344" w:name="_Toc151190162"/>
      <w:bookmarkStart w:id="345" w:name="_Toc142311037"/>
      <w:bookmarkStart w:id="346" w:name="_Toc150774635"/>
      <w:bookmarkStart w:id="347" w:name="_Toc151193849"/>
      <w:bookmarkStart w:id="348" w:name="_Toc164608804"/>
      <w:bookmarkStart w:id="349" w:name="_Toc151193777"/>
      <w:bookmarkStart w:id="350" w:name="_Toc164608649"/>
      <w:bookmarkStart w:id="351" w:name="_Toc195842900"/>
      <w:bookmarkStart w:id="352" w:name="_Toc226965725"/>
      <w:bookmarkStart w:id="353" w:name="_Toc150774740"/>
      <w:bookmarkStart w:id="354" w:name="_Toc264969225"/>
      <w:bookmarkStart w:id="355" w:name="_Toc127151535"/>
      <w:bookmarkStart w:id="356" w:name="_Toc520356160"/>
      <w:bookmarkStart w:id="357" w:name="_Toc127151736"/>
      <w:bookmarkStart w:id="358" w:name="_Toc226337231"/>
      <w:bookmarkStart w:id="359" w:name="_Toc164351629"/>
      <w:bookmarkStart w:id="360" w:name="_Toc151193923"/>
      <w:bookmarkStart w:id="361" w:name="_Toc164229376"/>
      <w:bookmarkStart w:id="362" w:name="_Toc305158877"/>
      <w:bookmarkStart w:id="363" w:name="_Toc150480773"/>
      <w:bookmarkStart w:id="364" w:name="_Toc151193633"/>
      <w:bookmarkStart w:id="365" w:name="_Toc151193705"/>
      <w:bookmarkStart w:id="366" w:name="_Toc265228373"/>
      <w:bookmarkStart w:id="367" w:name="_Toc150509286"/>
      <w:bookmarkStart w:id="368" w:name="_Toc164229230"/>
      <w:bookmarkStart w:id="369" w:name="_Toc226309779"/>
      <w:bookmarkStart w:id="370" w:name="_Toc149720828"/>
      <w:bookmarkStart w:id="371" w:name="_Toc127161449"/>
      <w:bookmarkStart w:id="372" w:name="_Toc305158803"/>
      <w:r>
        <w:rPr>
          <w:rFonts w:eastAsiaTheme="minorEastAsia"/>
          <w:sz w:val="24"/>
        </w:rPr>
        <w:t>响应文件的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eastAsiaTheme="minorEastAsia"/>
          <w:sz w:val="24"/>
        </w:rPr>
        <w:t>提交</w:t>
      </w:r>
    </w:p>
    <w:p>
      <w:pPr>
        <w:numPr>
          <w:ilvl w:val="1"/>
          <w:numId w:val="8"/>
        </w:numPr>
        <w:tabs>
          <w:tab w:val="left" w:pos="1080"/>
          <w:tab w:val="left" w:pos="2014"/>
        </w:tabs>
        <w:snapToGrid w:val="0"/>
        <w:spacing w:line="360" w:lineRule="auto"/>
        <w:ind w:left="1077" w:hanging="720"/>
        <w:rPr>
          <w:rFonts w:eastAsiaTheme="minorEastAsia"/>
          <w:sz w:val="24"/>
        </w:rPr>
      </w:pPr>
      <w:r>
        <w:rPr>
          <w:rFonts w:hint="eastAsia" w:eastAsiaTheme="minorEastAsia"/>
          <w:sz w:val="24"/>
        </w:rPr>
        <w:t>4.报价文件一份，正本1份</w:t>
      </w:r>
      <w:r>
        <w:rPr>
          <w:rFonts w:hint="eastAsia" w:eastAsiaTheme="minorEastAsia"/>
          <w:sz w:val="24"/>
          <w:lang w:eastAsia="zh-CN"/>
        </w:rPr>
        <w:t>，</w:t>
      </w:r>
      <w:r>
        <w:rPr>
          <w:rFonts w:hint="eastAsia" w:eastAsiaTheme="minorEastAsia"/>
          <w:sz w:val="24"/>
        </w:rPr>
        <w:t>电子版1份，电子文档:PDF或WORD格式并单独密封提交。在每一份文件上要注明“正本”字样。如果正本与电子版不符，以正本为准。</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hint="eastAsia" w:eastAsiaTheme="minorEastAsia"/>
          <w:sz w:val="24"/>
          <w:highlight w:val="none"/>
        </w:rPr>
        <w:t>本项目报价供应商可采用邮寄方式或电子邮箱递交响应文件</w:t>
      </w:r>
      <w:r>
        <w:rPr>
          <w:rFonts w:eastAsiaTheme="minorEastAsia"/>
          <w:sz w:val="24"/>
          <w:highlight w:val="none"/>
        </w:rPr>
        <w:t>。</w:t>
      </w:r>
      <w:r>
        <w:rPr>
          <w:rFonts w:hint="eastAsia" w:eastAsiaTheme="minorEastAsia"/>
          <w:sz w:val="24"/>
          <w:highlight w:val="none"/>
        </w:rPr>
        <w:t>采用电子邮箱方式递交响应文件的，需在评审结束后邮寄纸质版响应文件。</w:t>
      </w:r>
    </w:p>
    <w:p>
      <w:pPr>
        <w:numPr>
          <w:ilvl w:val="1"/>
          <w:numId w:val="8"/>
        </w:numPr>
        <w:tabs>
          <w:tab w:val="left" w:pos="1080"/>
          <w:tab w:val="left" w:pos="2014"/>
        </w:tabs>
        <w:snapToGrid w:val="0"/>
        <w:spacing w:line="360" w:lineRule="auto"/>
        <w:ind w:left="1077" w:hanging="720"/>
        <w:rPr>
          <w:rFonts w:eastAsiaTheme="minorEastAsia"/>
          <w:sz w:val="24"/>
          <w:u w:val="single"/>
        </w:rPr>
      </w:pPr>
      <w:r>
        <w:rPr>
          <w:rFonts w:hint="eastAsia" w:eastAsiaTheme="minorEastAsia"/>
          <w:sz w:val="24"/>
        </w:rPr>
        <w:t>邮寄地址如下：河北省廊坊市广阳区丰盛路1</w:t>
      </w:r>
      <w:r>
        <w:rPr>
          <w:rFonts w:eastAsiaTheme="minorEastAsia"/>
          <w:sz w:val="24"/>
        </w:rPr>
        <w:t>59</w:t>
      </w:r>
      <w:r>
        <w:rPr>
          <w:rFonts w:hint="eastAsia" w:eastAsiaTheme="minorEastAsia"/>
          <w:sz w:val="24"/>
        </w:rPr>
        <w:t>号；联系人：</w:t>
      </w:r>
      <w:r>
        <w:rPr>
          <w:rFonts w:hint="eastAsia" w:eastAsiaTheme="minorEastAsia"/>
          <w:sz w:val="24"/>
          <w:lang w:val="en-US" w:eastAsia="zh-CN"/>
        </w:rPr>
        <w:t>王</w:t>
      </w:r>
      <w:r>
        <w:rPr>
          <w:rFonts w:hint="eastAsia" w:eastAsiaTheme="minorEastAsia"/>
          <w:sz w:val="24"/>
        </w:rPr>
        <w:t>先生（收）</w:t>
      </w:r>
      <w:r>
        <w:rPr>
          <w:rFonts w:hint="eastAsia" w:eastAsiaTheme="minorEastAsia"/>
          <w:sz w:val="24"/>
          <w:u w:val="single"/>
        </w:rPr>
        <w:t>1</w:t>
      </w:r>
      <w:r>
        <w:rPr>
          <w:rFonts w:eastAsiaTheme="minorEastAsia"/>
          <w:sz w:val="24"/>
          <w:u w:val="single"/>
        </w:rPr>
        <w:t>6630699</w:t>
      </w:r>
      <w:r>
        <w:rPr>
          <w:rFonts w:hint="eastAsia" w:eastAsiaTheme="minorEastAsia"/>
          <w:sz w:val="24"/>
          <w:u w:val="single"/>
          <w:lang w:val="en-US" w:eastAsia="zh-CN"/>
        </w:rPr>
        <w:t>115</w:t>
      </w:r>
    </w:p>
    <w:p>
      <w:pPr>
        <w:tabs>
          <w:tab w:val="left" w:pos="900"/>
          <w:tab w:val="left" w:pos="1080"/>
          <w:tab w:val="left" w:pos="1589"/>
          <w:tab w:val="left" w:pos="2014"/>
        </w:tabs>
        <w:snapToGrid w:val="0"/>
        <w:spacing w:line="360" w:lineRule="auto"/>
        <w:ind w:left="1077"/>
        <w:rPr>
          <w:rFonts w:eastAsiaTheme="minorEastAsia"/>
          <w:sz w:val="24"/>
        </w:rPr>
      </w:pPr>
      <w:r>
        <w:rPr>
          <w:rFonts w:hint="eastAsia" w:eastAsiaTheme="minorEastAsia"/>
          <w:sz w:val="24"/>
        </w:rPr>
        <w:t>电子邮箱如下：</w:t>
      </w:r>
      <w:r>
        <w:fldChar w:fldCharType="begin"/>
      </w:r>
      <w:r>
        <w:instrText xml:space="preserve"> HYPERLINK "mailto:DQWLCG@163.COM" </w:instrText>
      </w:r>
      <w:r>
        <w:fldChar w:fldCharType="separate"/>
      </w:r>
      <w:r>
        <w:rPr>
          <w:rStyle w:val="55"/>
          <w:rFonts w:hint="eastAsia" w:eastAsiaTheme="minorEastAsia"/>
          <w:sz w:val="24"/>
        </w:rPr>
        <w:t>D</w:t>
      </w:r>
      <w:r>
        <w:rPr>
          <w:rStyle w:val="55"/>
          <w:rFonts w:eastAsiaTheme="minorEastAsia"/>
          <w:sz w:val="24"/>
        </w:rPr>
        <w:t>QWLCG@163.COM</w:t>
      </w:r>
      <w:r>
        <w:rPr>
          <w:rStyle w:val="55"/>
          <w:rFonts w:eastAsiaTheme="minorEastAsia"/>
          <w:sz w:val="24"/>
        </w:rPr>
        <w:fldChar w:fldCharType="end"/>
      </w:r>
      <w:r>
        <w:rPr>
          <w:rFonts w:hint="eastAsia" w:eastAsiaTheme="minorEastAsia"/>
          <w:sz w:val="24"/>
        </w:rPr>
        <w:t>，邮件名称为：公司名称+项目名称</w:t>
      </w:r>
      <w:r>
        <w:rPr>
          <w:rFonts w:hint="eastAsia" w:eastAsiaTheme="minorEastAsia"/>
          <w:sz w:val="24"/>
          <w:lang w:val="en-US" w:eastAsia="zh-CN"/>
        </w:rPr>
        <w:t>+</w:t>
      </w:r>
      <w:r>
        <w:rPr>
          <w:rFonts w:hint="eastAsia" w:eastAsiaTheme="minorEastAsia"/>
          <w:sz w:val="24"/>
        </w:rPr>
        <w:t>响应文件。采用电子邮箱方式递交响应文件电子版需加密，不加密属于无效递交，密码需在</w:t>
      </w:r>
      <w:r>
        <w:rPr>
          <w:rFonts w:eastAsiaTheme="minorEastAsia"/>
          <w:sz w:val="24"/>
        </w:rPr>
        <w:t>提交响应文件截止</w:t>
      </w:r>
      <w:r>
        <w:rPr>
          <w:rFonts w:hint="eastAsia" w:eastAsiaTheme="minorEastAsia"/>
          <w:sz w:val="24"/>
        </w:rPr>
        <w:t>后</w:t>
      </w:r>
      <w:r>
        <w:rPr>
          <w:rFonts w:hint="eastAsia" w:eastAsiaTheme="minorEastAsia"/>
          <w:b/>
          <w:bCs/>
          <w:sz w:val="24"/>
          <w:u w:val="single"/>
        </w:rPr>
        <w:t>2</w:t>
      </w:r>
      <w:r>
        <w:rPr>
          <w:rFonts w:eastAsiaTheme="minorEastAsia"/>
          <w:b/>
          <w:bCs/>
          <w:sz w:val="24"/>
          <w:u w:val="single"/>
        </w:rPr>
        <w:t>0</w:t>
      </w:r>
      <w:r>
        <w:rPr>
          <w:rFonts w:hint="eastAsia" w:eastAsiaTheme="minorEastAsia"/>
          <w:sz w:val="24"/>
        </w:rPr>
        <w:t>分钟内发送至上述电子邮箱。</w:t>
      </w:r>
    </w:p>
    <w:p>
      <w:pPr>
        <w:numPr>
          <w:ilvl w:val="0"/>
          <w:numId w:val="8"/>
        </w:numPr>
        <w:tabs>
          <w:tab w:val="left" w:pos="360"/>
        </w:tabs>
        <w:snapToGrid w:val="0"/>
        <w:spacing w:line="360" w:lineRule="auto"/>
        <w:ind w:left="357" w:hanging="357"/>
        <w:outlineLvl w:val="1"/>
        <w:rPr>
          <w:rFonts w:eastAsiaTheme="minorEastAsia"/>
          <w:sz w:val="24"/>
        </w:rPr>
      </w:pPr>
      <w:bookmarkStart w:id="373" w:name="_Toc305158878"/>
      <w:bookmarkStart w:id="374" w:name="_Toc151193850"/>
      <w:bookmarkStart w:id="375" w:name="_Toc164608650"/>
      <w:bookmarkStart w:id="376" w:name="_Toc150509287"/>
      <w:bookmarkStart w:id="377" w:name="_Toc226309780"/>
      <w:bookmarkStart w:id="378" w:name="_Toc127161450"/>
      <w:bookmarkStart w:id="379" w:name="_Toc127151536"/>
      <w:bookmarkStart w:id="380" w:name="_Toc151193706"/>
      <w:bookmarkStart w:id="381" w:name="_Toc142311038"/>
      <w:bookmarkStart w:id="382" w:name="_Toc150774741"/>
      <w:bookmarkStart w:id="383" w:name="_Toc151193778"/>
      <w:bookmarkStart w:id="384" w:name="_Toc164229231"/>
      <w:bookmarkStart w:id="385" w:name="_Toc150774636"/>
      <w:bookmarkStart w:id="386" w:name="_Toc149720829"/>
      <w:bookmarkStart w:id="387" w:name="_Toc226337232"/>
      <w:bookmarkStart w:id="388" w:name="_Toc127151737"/>
      <w:bookmarkStart w:id="389" w:name="_Toc265228374"/>
      <w:bookmarkStart w:id="390" w:name="_Toc226965726"/>
      <w:bookmarkStart w:id="391" w:name="_Toc151193634"/>
      <w:bookmarkStart w:id="392" w:name="_Toc305158804"/>
      <w:bookmarkStart w:id="393" w:name="_Toc520356161"/>
      <w:bookmarkStart w:id="394" w:name="_Toc164608805"/>
      <w:bookmarkStart w:id="395" w:name="_Toc151193924"/>
      <w:bookmarkStart w:id="396" w:name="_Toc164229377"/>
      <w:bookmarkStart w:id="397" w:name="_Toc151190163"/>
      <w:bookmarkStart w:id="398" w:name="_Toc150480774"/>
      <w:bookmarkStart w:id="399" w:name="_Toc195842901"/>
      <w:bookmarkStart w:id="400" w:name="_Toc264969226"/>
      <w:bookmarkStart w:id="401" w:name="_Toc164351630"/>
      <w:bookmarkStart w:id="402" w:name="_Toc226965809"/>
      <w:r>
        <w:rPr>
          <w:rFonts w:eastAsiaTheme="minorEastAsia"/>
          <w:sz w:val="24"/>
        </w:rPr>
        <w:t>提交响应文件截止</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eastAsiaTheme="minorEastAsia"/>
          <w:sz w:val="24"/>
        </w:rPr>
        <w:t>时间</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供应商应在询价通知书要求的提交响应文件截止时间前，将响应文件提交至</w:t>
      </w:r>
      <w:r>
        <w:rPr>
          <w:rFonts w:hint="eastAsia" w:eastAsiaTheme="minorEastAsia"/>
          <w:sz w:val="24"/>
        </w:rPr>
        <w:t>地球物理调查中心</w:t>
      </w:r>
      <w:r>
        <w:rPr>
          <w:rFonts w:eastAsiaTheme="minorEastAsia"/>
          <w:sz w:val="24"/>
        </w:rPr>
        <w:t>。</w:t>
      </w:r>
    </w:p>
    <w:p>
      <w:pPr>
        <w:numPr>
          <w:ilvl w:val="0"/>
          <w:numId w:val="8"/>
        </w:numPr>
        <w:tabs>
          <w:tab w:val="left" w:pos="360"/>
        </w:tabs>
        <w:snapToGrid w:val="0"/>
        <w:spacing w:line="360" w:lineRule="auto"/>
        <w:ind w:left="357" w:hanging="357"/>
        <w:outlineLvl w:val="1"/>
        <w:rPr>
          <w:rFonts w:eastAsiaTheme="minorEastAsia"/>
          <w:sz w:val="24"/>
        </w:rPr>
      </w:pPr>
      <w:bookmarkStart w:id="403" w:name="_Toc127151537"/>
      <w:bookmarkStart w:id="404" w:name="_Toc305158805"/>
      <w:bookmarkStart w:id="405" w:name="_Toc151190164"/>
      <w:bookmarkStart w:id="406" w:name="_Toc520356162"/>
      <w:bookmarkStart w:id="407" w:name="_Toc305158879"/>
      <w:bookmarkStart w:id="408" w:name="_Toc151193851"/>
      <w:bookmarkStart w:id="409" w:name="_Toc164229232"/>
      <w:bookmarkStart w:id="410" w:name="_Toc150480775"/>
      <w:bookmarkStart w:id="411" w:name="_Toc226965727"/>
      <w:bookmarkStart w:id="412" w:name="_Toc150774637"/>
      <w:bookmarkStart w:id="413" w:name="_Toc150774742"/>
      <w:bookmarkStart w:id="414" w:name="_Toc149720830"/>
      <w:bookmarkStart w:id="415" w:name="_Toc151193707"/>
      <w:bookmarkStart w:id="416" w:name="_Toc142311039"/>
      <w:bookmarkStart w:id="417" w:name="_Toc265228375"/>
      <w:bookmarkStart w:id="418" w:name="_Toc195842902"/>
      <w:bookmarkStart w:id="419" w:name="_Toc164229378"/>
      <w:bookmarkStart w:id="420" w:name="_Toc151193779"/>
      <w:bookmarkStart w:id="421" w:name="_Toc226309781"/>
      <w:bookmarkStart w:id="422" w:name="_Toc127161451"/>
      <w:bookmarkStart w:id="423" w:name="_Toc150509288"/>
      <w:bookmarkStart w:id="424" w:name="_Toc226965810"/>
      <w:bookmarkStart w:id="425" w:name="_Toc264969227"/>
      <w:bookmarkStart w:id="426" w:name="_Toc127151738"/>
      <w:bookmarkStart w:id="427" w:name="_Toc164351631"/>
      <w:bookmarkStart w:id="428" w:name="_Toc164608806"/>
      <w:bookmarkStart w:id="429" w:name="_Toc151193635"/>
      <w:bookmarkStart w:id="430" w:name="_Toc164608651"/>
      <w:bookmarkStart w:id="431" w:name="_Toc151193925"/>
      <w:bookmarkStart w:id="432" w:name="_Toc226337233"/>
      <w:r>
        <w:rPr>
          <w:rFonts w:eastAsiaTheme="minorEastAsia"/>
          <w:sz w:val="24"/>
        </w:rPr>
        <w:t>响应文件的修改与撤回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提交响应文件截止时间前，供应商可以对所提交的响应文件进行补充、修改或者撤回。</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供应商对响应文件的补充、修改的内容应当按照询价通知书要求签署、盖章，作为响应文件的组成部分。补充、修改的内容与响应文件不一致的，以补充、修改的内容为准。</w:t>
      </w:r>
    </w:p>
    <w:p>
      <w:pPr>
        <w:spacing w:line="360" w:lineRule="auto"/>
        <w:rPr>
          <w:rFonts w:eastAsiaTheme="minorEastAsia"/>
          <w:sz w:val="24"/>
        </w:rPr>
      </w:pPr>
    </w:p>
    <w:p>
      <w:pPr>
        <w:pStyle w:val="8"/>
        <w:spacing w:before="0" w:line="360" w:lineRule="auto"/>
        <w:rPr>
          <w:rFonts w:ascii="Times New Roman" w:hAnsi="Times New Roman" w:eastAsiaTheme="minorEastAsia"/>
          <w:sz w:val="28"/>
        </w:rPr>
      </w:pPr>
      <w:bookmarkStart w:id="433" w:name="_Toc150774743"/>
      <w:bookmarkStart w:id="434" w:name="_Toc226965811"/>
      <w:bookmarkStart w:id="435" w:name="_Toc226309782"/>
      <w:bookmarkStart w:id="436" w:name="_Toc305158806"/>
      <w:bookmarkStart w:id="437" w:name="_Toc305158880"/>
      <w:bookmarkStart w:id="438" w:name="_Toc151190165"/>
      <w:bookmarkStart w:id="439" w:name="_Toc226965728"/>
      <w:bookmarkStart w:id="440" w:name="_Toc150774638"/>
      <w:bookmarkStart w:id="441" w:name="_Toc195842903"/>
      <w:bookmarkStart w:id="442" w:name="_Toc151193708"/>
      <w:bookmarkStart w:id="443" w:name="_Toc226337234"/>
      <w:bookmarkStart w:id="444" w:name="_Toc520356163"/>
      <w:bookmarkStart w:id="445" w:name="_Toc151193926"/>
      <w:bookmarkStart w:id="446" w:name="_Toc151193852"/>
      <w:bookmarkStart w:id="447" w:name="_Toc151193636"/>
      <w:bookmarkStart w:id="448" w:name="_Toc151193780"/>
      <w:bookmarkStart w:id="449" w:name="_Toc150509289"/>
      <w:bookmarkStart w:id="450" w:name="_Toc127151538"/>
      <w:bookmarkStart w:id="451" w:name="_Toc142311040"/>
      <w:bookmarkStart w:id="452" w:name="_Toc265228376"/>
      <w:bookmarkStart w:id="453" w:name="_Toc264969228"/>
      <w:bookmarkStart w:id="454" w:name="_Toc150480776"/>
      <w:r>
        <w:rPr>
          <w:rFonts w:ascii="Times New Roman" w:hAnsi="Times New Roman" w:eastAsiaTheme="minorEastAsia"/>
          <w:sz w:val="28"/>
        </w:rPr>
        <w:t xml:space="preserve">五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Times New Roman" w:hAnsi="Times New Roman" w:eastAsiaTheme="minorEastAsia"/>
          <w:sz w:val="28"/>
        </w:rPr>
        <w:t>评审</w:t>
      </w:r>
    </w:p>
    <w:p>
      <w:pPr>
        <w:numPr>
          <w:ilvl w:val="0"/>
          <w:numId w:val="8"/>
        </w:numPr>
        <w:tabs>
          <w:tab w:val="left" w:pos="360"/>
        </w:tabs>
        <w:snapToGrid w:val="0"/>
        <w:spacing w:line="360" w:lineRule="auto"/>
        <w:ind w:left="357" w:hanging="357"/>
        <w:outlineLvl w:val="1"/>
        <w:rPr>
          <w:rFonts w:eastAsiaTheme="minorEastAsia"/>
          <w:sz w:val="24"/>
        </w:rPr>
      </w:pPr>
      <w:r>
        <w:rPr>
          <w:rFonts w:hint="eastAsia" w:eastAsiaTheme="minorEastAsia"/>
          <w:sz w:val="24"/>
        </w:rPr>
        <w:t>开启</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采购人或采购代理机构将按询价通知书的规定，在提交响应文件截止时间的同一时间和《供应商须知资料表》约定的地点组织</w:t>
      </w:r>
      <w:r>
        <w:rPr>
          <w:rFonts w:hint="eastAsia" w:eastAsiaTheme="minorEastAsia"/>
          <w:sz w:val="24"/>
        </w:rPr>
        <w:t>开启</w:t>
      </w:r>
      <w:r>
        <w:rPr>
          <w:rFonts w:eastAsiaTheme="minorEastAsia"/>
          <w:sz w:val="24"/>
        </w:rPr>
        <w:t>。</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应当及时询问被申请回避人员，有利害关系的被申请回避人员应当回避。</w:t>
      </w:r>
    </w:p>
    <w:p>
      <w:pPr>
        <w:numPr>
          <w:ilvl w:val="1"/>
          <w:numId w:val="8"/>
        </w:numPr>
        <w:tabs>
          <w:tab w:val="left" w:pos="1080"/>
          <w:tab w:val="left" w:pos="2014"/>
        </w:tabs>
        <w:snapToGrid w:val="0"/>
        <w:spacing w:line="360" w:lineRule="auto"/>
        <w:ind w:left="1077" w:hanging="720"/>
        <w:rPr>
          <w:rFonts w:eastAsiaTheme="minorEastAsia"/>
          <w:sz w:val="24"/>
        </w:rPr>
      </w:pPr>
      <w:bookmarkStart w:id="455" w:name="_Toc520356165"/>
      <w:r>
        <w:rPr>
          <w:rFonts w:eastAsiaTheme="minorEastAsia"/>
          <w:sz w:val="24"/>
        </w:rPr>
        <w:t>供应商不足3家的，不予</w:t>
      </w:r>
      <w:r>
        <w:rPr>
          <w:rFonts w:hint="eastAsia" w:eastAsiaTheme="minorEastAsia"/>
          <w:sz w:val="24"/>
        </w:rPr>
        <w:t>开启</w:t>
      </w:r>
      <w:r>
        <w:rPr>
          <w:rFonts w:eastAsiaTheme="minorEastAsia"/>
          <w:sz w:val="24"/>
        </w:rPr>
        <w:t>。</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本项目不公开报价。</w:t>
      </w:r>
    </w:p>
    <w:bookmarkEnd w:id="455"/>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询价小组</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询价小组根据本次采购项目的特点</w:t>
      </w:r>
      <w:r>
        <w:rPr>
          <w:rFonts w:hint="eastAsia" w:eastAsiaTheme="minorEastAsia"/>
          <w:sz w:val="24"/>
        </w:rPr>
        <w:t>由采购人自行</w:t>
      </w:r>
      <w:r>
        <w:rPr>
          <w:rFonts w:eastAsiaTheme="minorEastAsia"/>
          <w:sz w:val="24"/>
        </w:rPr>
        <w:t>组建，并负责具体评审事务，独立履行职责。</w:t>
      </w:r>
      <w:bookmarkStart w:id="456" w:name="_Toc520356166"/>
    </w:p>
    <w:bookmarkEnd w:id="456"/>
    <w:p>
      <w:pPr>
        <w:numPr>
          <w:ilvl w:val="0"/>
          <w:numId w:val="8"/>
        </w:numPr>
        <w:tabs>
          <w:tab w:val="left" w:pos="360"/>
        </w:tabs>
        <w:snapToGrid w:val="0"/>
        <w:spacing w:line="360" w:lineRule="auto"/>
        <w:ind w:left="357" w:hanging="357"/>
        <w:outlineLvl w:val="1"/>
        <w:rPr>
          <w:rFonts w:eastAsiaTheme="minorEastAsia"/>
          <w:sz w:val="24"/>
        </w:rPr>
      </w:pPr>
      <w:bookmarkStart w:id="457" w:name="_Toc520356169"/>
      <w:r>
        <w:rPr>
          <w:rFonts w:eastAsiaTheme="minorEastAsia"/>
          <w:sz w:val="24"/>
        </w:rPr>
        <w:t>评审程序和评定成交的标准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见第三章《评审程序和评定成交的标准》。</w:t>
      </w:r>
    </w:p>
    <w:p>
      <w:pPr>
        <w:tabs>
          <w:tab w:val="left" w:pos="360"/>
          <w:tab w:val="left" w:pos="1080"/>
        </w:tabs>
        <w:snapToGrid w:val="0"/>
        <w:spacing w:line="360" w:lineRule="auto"/>
        <w:rPr>
          <w:rFonts w:eastAsiaTheme="minorEastAsia"/>
          <w:sz w:val="24"/>
        </w:rPr>
      </w:pPr>
    </w:p>
    <w:p>
      <w:pPr>
        <w:pStyle w:val="8"/>
        <w:spacing w:before="0" w:line="360" w:lineRule="auto"/>
        <w:rPr>
          <w:rFonts w:ascii="Times New Roman" w:hAnsi="Times New Roman" w:eastAsiaTheme="minorEastAsia"/>
          <w:sz w:val="28"/>
        </w:rPr>
      </w:pPr>
      <w:bookmarkStart w:id="458" w:name="_Toc226309789"/>
      <w:bookmarkStart w:id="459" w:name="_Toc151193933"/>
      <w:bookmarkStart w:id="460" w:name="_Toc151193859"/>
      <w:bookmarkStart w:id="461" w:name="_Toc150774645"/>
      <w:bookmarkStart w:id="462" w:name="_Toc142311047"/>
      <w:bookmarkStart w:id="463" w:name="_Toc226965735"/>
      <w:bookmarkStart w:id="464" w:name="_Toc151193643"/>
      <w:bookmarkStart w:id="465" w:name="_Toc150509296"/>
      <w:bookmarkStart w:id="466" w:name="_Toc150774750"/>
      <w:bookmarkStart w:id="467" w:name="_Toc226965818"/>
      <w:bookmarkStart w:id="468" w:name="_Toc305158887"/>
      <w:bookmarkStart w:id="469" w:name="_Toc264969235"/>
      <w:bookmarkStart w:id="470" w:name="_Toc127151545"/>
      <w:bookmarkStart w:id="471" w:name="_Toc195842910"/>
      <w:bookmarkStart w:id="472" w:name="_Toc226337241"/>
      <w:bookmarkStart w:id="473" w:name="_Toc305158813"/>
      <w:bookmarkStart w:id="474" w:name="_Toc150480783"/>
      <w:bookmarkStart w:id="475" w:name="_Toc151193715"/>
      <w:bookmarkStart w:id="476" w:name="_Toc151190172"/>
      <w:bookmarkStart w:id="477" w:name="_Toc151193787"/>
      <w:bookmarkStart w:id="478" w:name="_Toc265228383"/>
      <w:r>
        <w:rPr>
          <w:rFonts w:ascii="Times New Roman" w:hAnsi="Times New Roman" w:eastAsiaTheme="minorEastAsia"/>
          <w:sz w:val="28"/>
        </w:rPr>
        <w:t xml:space="preserve">六   </w:t>
      </w:r>
      <w:bookmarkEnd w:id="457"/>
      <w:r>
        <w:rPr>
          <w:rFonts w:ascii="Times New Roman" w:hAnsi="Times New Roman" w:eastAsiaTheme="minorEastAsia"/>
          <w:sz w:val="28"/>
        </w:rPr>
        <w:t>确定</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ascii="Times New Roman" w:hAnsi="Times New Roman" w:eastAsiaTheme="minorEastAsia"/>
          <w:sz w:val="28"/>
        </w:rPr>
        <w:t>成交</w:t>
      </w:r>
    </w:p>
    <w:p>
      <w:pPr>
        <w:numPr>
          <w:ilvl w:val="0"/>
          <w:numId w:val="8"/>
        </w:numPr>
        <w:tabs>
          <w:tab w:val="left" w:pos="360"/>
        </w:tabs>
        <w:snapToGrid w:val="0"/>
        <w:spacing w:line="360" w:lineRule="auto"/>
        <w:ind w:left="357" w:hanging="357"/>
        <w:outlineLvl w:val="1"/>
        <w:rPr>
          <w:rFonts w:eastAsiaTheme="minorEastAsia"/>
          <w:sz w:val="24"/>
        </w:rPr>
      </w:pPr>
      <w:bookmarkStart w:id="479" w:name="_Toc149720840"/>
      <w:bookmarkStart w:id="480" w:name="_Toc142311049"/>
      <w:bookmarkStart w:id="481" w:name="_Toc151190174"/>
      <w:bookmarkStart w:id="482" w:name="_Toc164229242"/>
      <w:bookmarkStart w:id="483" w:name="_Toc127161461"/>
      <w:bookmarkStart w:id="484" w:name="_Toc264969237"/>
      <w:bookmarkStart w:id="485" w:name="_Toc127151748"/>
      <w:bookmarkStart w:id="486" w:name="_Toc226965737"/>
      <w:bookmarkStart w:id="487" w:name="_Toc150480785"/>
      <w:bookmarkStart w:id="488" w:name="_Toc305158889"/>
      <w:bookmarkStart w:id="489" w:name="_Toc265228385"/>
      <w:bookmarkStart w:id="490" w:name="_Toc150774752"/>
      <w:bookmarkStart w:id="491" w:name="_Toc151193861"/>
      <w:bookmarkStart w:id="492" w:name="_Toc195842912"/>
      <w:bookmarkStart w:id="493" w:name="_Toc305158815"/>
      <w:bookmarkStart w:id="494" w:name="_Toc164229388"/>
      <w:bookmarkStart w:id="495" w:name="_Toc226337243"/>
      <w:bookmarkStart w:id="496" w:name="_Toc127151547"/>
      <w:bookmarkStart w:id="497" w:name="_Toc226309791"/>
      <w:bookmarkStart w:id="498" w:name="_Toc151193789"/>
      <w:bookmarkStart w:id="499" w:name="_Toc164608661"/>
      <w:bookmarkStart w:id="500" w:name="_Toc151193935"/>
      <w:bookmarkStart w:id="501" w:name="_Toc226965820"/>
      <w:bookmarkStart w:id="502" w:name="_Toc151193645"/>
      <w:bookmarkStart w:id="503" w:name="_Toc150509298"/>
      <w:bookmarkStart w:id="504" w:name="_Toc164351641"/>
      <w:bookmarkStart w:id="505" w:name="_Toc151193717"/>
      <w:bookmarkStart w:id="506" w:name="_Toc150774647"/>
      <w:bookmarkStart w:id="507" w:name="_Toc164608816"/>
      <w:r>
        <w:rPr>
          <w:rFonts w:eastAsiaTheme="minorEastAsia"/>
          <w:sz w:val="24"/>
        </w:rPr>
        <w:t>确定</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Fonts w:eastAsiaTheme="minorEastAsia"/>
          <w:sz w:val="24"/>
        </w:rPr>
        <w:t>成交供应商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采购人将在评审报告提出的成交候选人中，根据质量和服务均能满足采购文件实质性响应要求且报价最低的原则确定成交供应商。</w:t>
      </w:r>
      <w:r>
        <w:rPr>
          <w:rFonts w:hint="eastAsia" w:eastAsiaTheme="minorEastAsia"/>
          <w:sz w:val="24"/>
        </w:rPr>
        <w:t>采购人是否授权询价小组直接确定成交供应商，见《供应商须知资料表》。成交候选人并列的，按照《供应商须知资料表》要求确定成交供应商。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rFonts w:eastAsiaTheme="minorEastAsia"/>
          <w:sz w:val="24"/>
        </w:rPr>
      </w:pPr>
      <w:bookmarkStart w:id="508" w:name="_Toc305158817"/>
      <w:bookmarkStart w:id="509" w:name="_Toc305158891"/>
      <w:bookmarkStart w:id="510" w:name="_Toc151193719"/>
      <w:bookmarkStart w:id="511" w:name="_Toc127151549"/>
      <w:bookmarkStart w:id="512" w:name="_Toc226965822"/>
      <w:bookmarkStart w:id="513" w:name="_Toc150774649"/>
      <w:bookmarkStart w:id="514" w:name="_Toc149720842"/>
      <w:bookmarkStart w:id="515" w:name="_Toc164229244"/>
      <w:bookmarkStart w:id="516" w:name="_Toc265228387"/>
      <w:bookmarkStart w:id="517" w:name="_Toc164351643"/>
      <w:bookmarkStart w:id="518" w:name="_Toc226965739"/>
      <w:bookmarkStart w:id="519" w:name="_Toc226337245"/>
      <w:bookmarkStart w:id="520" w:name="_Toc142311051"/>
      <w:bookmarkStart w:id="521" w:name="_Toc127151750"/>
      <w:bookmarkStart w:id="522" w:name="_Toc150480787"/>
      <w:bookmarkStart w:id="523" w:name="_Toc151193647"/>
      <w:bookmarkStart w:id="524" w:name="_Toc151193791"/>
      <w:bookmarkStart w:id="525" w:name="_Toc164229390"/>
      <w:bookmarkStart w:id="526" w:name="_Toc164608818"/>
      <w:bookmarkStart w:id="527" w:name="_Toc164608663"/>
      <w:bookmarkStart w:id="528" w:name="_Toc151193937"/>
      <w:bookmarkStart w:id="529" w:name="_Toc151193863"/>
      <w:bookmarkStart w:id="530" w:name="_Toc264969239"/>
      <w:bookmarkStart w:id="531" w:name="_Toc151190176"/>
      <w:bookmarkStart w:id="532" w:name="_Toc195842914"/>
      <w:bookmarkStart w:id="533" w:name="_Toc150774754"/>
      <w:bookmarkStart w:id="534" w:name="_Toc226309793"/>
      <w:bookmarkStart w:id="535" w:name="_Toc127161463"/>
      <w:bookmarkStart w:id="536" w:name="_Toc150509300"/>
      <w:bookmarkStart w:id="537" w:name="_Ref467306425"/>
      <w:bookmarkStart w:id="538" w:name="_Ref467307090"/>
      <w:bookmarkStart w:id="539" w:name="_Toc520356176"/>
      <w:r>
        <w:rPr>
          <w:rFonts w:eastAsiaTheme="minorEastAsia"/>
          <w:sz w:val="24"/>
        </w:rPr>
        <w:t>成交公告与成交通知书</w:t>
      </w:r>
      <w:bookmarkEnd w:id="508"/>
      <w:bookmarkEnd w:id="509"/>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采购人或采购代理机构自成交供应商确定后2个工作日内，在</w:t>
      </w:r>
      <w:r>
        <w:rPr>
          <w:rFonts w:hint="eastAsia" w:eastAsiaTheme="minorEastAsia"/>
          <w:sz w:val="24"/>
        </w:rPr>
        <w:t>中国政府采购网</w:t>
      </w:r>
      <w:r>
        <w:rPr>
          <w:rFonts w:eastAsiaTheme="minorEastAsia"/>
          <w:sz w:val="24"/>
        </w:rPr>
        <w:t>公告成交结果，同时向成交供应商发出成交通知书，成交公告期限为1个工作日。</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pPr>
        <w:numPr>
          <w:ilvl w:val="0"/>
          <w:numId w:val="8"/>
        </w:numPr>
        <w:tabs>
          <w:tab w:val="left" w:pos="360"/>
        </w:tabs>
        <w:snapToGrid w:val="0"/>
        <w:spacing w:line="360" w:lineRule="auto"/>
        <w:outlineLvl w:val="1"/>
        <w:rPr>
          <w:rFonts w:eastAsiaTheme="minorEastAsia"/>
          <w:sz w:val="24"/>
        </w:rPr>
      </w:pPr>
      <w:r>
        <w:rPr>
          <w:rFonts w:eastAsiaTheme="minorEastAsia"/>
          <w:sz w:val="24"/>
        </w:rPr>
        <w:t>终止</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出现下列情形之一的，采购人或采购代理机构终止询价采购活动的，将发布项目终止公告并说明原因，重新开展采购活动：</w:t>
      </w:r>
    </w:p>
    <w:p>
      <w:pPr>
        <w:numPr>
          <w:ilvl w:val="2"/>
          <w:numId w:val="8"/>
        </w:numPr>
        <w:snapToGrid w:val="0"/>
        <w:spacing w:line="360" w:lineRule="auto"/>
        <w:rPr>
          <w:rFonts w:eastAsiaTheme="minorEastAsia"/>
          <w:sz w:val="24"/>
        </w:rPr>
      </w:pPr>
      <w:r>
        <w:rPr>
          <w:rFonts w:eastAsiaTheme="minorEastAsia"/>
          <w:sz w:val="24"/>
        </w:rPr>
        <w:t>因情况变化，不再符合规定的询价采购方式适用情形的；</w:t>
      </w:r>
    </w:p>
    <w:p>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pPr>
        <w:numPr>
          <w:ilvl w:val="2"/>
          <w:numId w:val="8"/>
        </w:numPr>
        <w:snapToGrid w:val="0"/>
        <w:spacing w:line="360" w:lineRule="auto"/>
        <w:rPr>
          <w:rFonts w:eastAsiaTheme="minorEastAsia"/>
          <w:sz w:val="24"/>
        </w:rPr>
      </w:pPr>
      <w:r>
        <w:rPr>
          <w:rFonts w:eastAsiaTheme="minorEastAsia"/>
          <w:sz w:val="24"/>
        </w:rPr>
        <w:t>在采购过程中符合竞争要求的供应商或者报价未超过采购预算的供应商不足3家的。</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Pr>
        <w:numPr>
          <w:ilvl w:val="0"/>
          <w:numId w:val="8"/>
        </w:numPr>
        <w:tabs>
          <w:tab w:val="left" w:pos="360"/>
        </w:tabs>
        <w:snapToGrid w:val="0"/>
        <w:spacing w:line="360" w:lineRule="auto"/>
        <w:ind w:left="357" w:hanging="357"/>
        <w:outlineLvl w:val="1"/>
        <w:rPr>
          <w:rFonts w:eastAsiaTheme="minorEastAsia"/>
          <w:sz w:val="24"/>
        </w:rPr>
      </w:pPr>
      <w:bookmarkStart w:id="540" w:name="_Toc142311052"/>
      <w:bookmarkStart w:id="541" w:name="_Ref467307062"/>
      <w:bookmarkStart w:id="542" w:name="_Toc151193864"/>
      <w:bookmarkStart w:id="543" w:name="_Toc151193792"/>
      <w:bookmarkStart w:id="544" w:name="_Toc127151550"/>
      <w:bookmarkStart w:id="545" w:name="_Toc164351644"/>
      <w:bookmarkStart w:id="546" w:name="_Toc151190177"/>
      <w:bookmarkStart w:id="547" w:name="_Toc226965823"/>
      <w:bookmarkStart w:id="548" w:name="_Toc164608664"/>
      <w:bookmarkStart w:id="549" w:name="_Toc127161464"/>
      <w:bookmarkStart w:id="550" w:name="_Toc151193938"/>
      <w:bookmarkStart w:id="551" w:name="_Toc195842915"/>
      <w:bookmarkStart w:id="552" w:name="_Toc150774650"/>
      <w:bookmarkStart w:id="553" w:name="_Toc150774755"/>
      <w:bookmarkStart w:id="554" w:name="_Toc226965740"/>
      <w:bookmarkStart w:id="555" w:name="_Toc305158818"/>
      <w:bookmarkStart w:id="556" w:name="_Ref467306978"/>
      <w:bookmarkStart w:id="557" w:name="_Toc151193648"/>
      <w:bookmarkStart w:id="558" w:name="_Toc149720843"/>
      <w:bookmarkStart w:id="559" w:name="_Ref467306377"/>
      <w:bookmarkStart w:id="560" w:name="_Ref467307204"/>
      <w:bookmarkStart w:id="561" w:name="_Toc164229245"/>
      <w:bookmarkStart w:id="562" w:name="_Toc520356175"/>
      <w:bookmarkStart w:id="563" w:name="_Toc150509301"/>
      <w:bookmarkStart w:id="564" w:name="_Toc164229391"/>
      <w:bookmarkStart w:id="565" w:name="_Toc150480788"/>
      <w:bookmarkStart w:id="566" w:name="_Toc164608819"/>
      <w:bookmarkStart w:id="567" w:name="_Toc226337246"/>
      <w:bookmarkStart w:id="568" w:name="_Toc226309794"/>
      <w:bookmarkStart w:id="569" w:name="_Toc264969240"/>
      <w:bookmarkStart w:id="570" w:name="_Toc127151751"/>
      <w:bookmarkStart w:id="571" w:name="_Toc151193720"/>
      <w:bookmarkStart w:id="572" w:name="_Toc305158892"/>
      <w:bookmarkStart w:id="573" w:name="_Toc265228388"/>
      <w:r>
        <w:rPr>
          <w:rFonts w:eastAsiaTheme="minorEastAsia"/>
          <w:sz w:val="24"/>
        </w:rPr>
        <w:t>签订合同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采购人与成交供应商应当在成交通知书发出之日起7日内，按照询价通知书确定的合同文本以及采购标的、规格型号、采购金额、采购数量、技术和服务要求等事项签订采购合同。</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成交供应商拒绝签订采购合同的，采购人可以按照评审报告推荐的成交候选人名单排序，确定下一候选人为成交供应商，也可以重新开展采购活动。</w:t>
      </w:r>
      <w:r>
        <w:rPr>
          <w:sz w:val="24"/>
        </w:rPr>
        <w:t>拒绝签订采购合同的成交供应商不得参加对该项目重新开展的采购活动。</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联合体成交的，联合体各方应当共同与采购人签订合同，就采购合同约定的事项向采购人承担连带责任。</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采购合同不能转包。</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的是否允许分包，见《供应商须知资料表》。采购合同分包履行的，应当在响应文件中载明分包承担主体，分包承担主体应当具备相应资质条件且不得再次分包，否则</w:t>
      </w:r>
      <w:r>
        <w:rPr>
          <w:rFonts w:eastAsiaTheme="minorEastAsia"/>
          <w:b/>
          <w:sz w:val="24"/>
        </w:rPr>
        <w:t>响应无效</w:t>
      </w:r>
      <w:r>
        <w:rPr>
          <w:rFonts w:eastAsiaTheme="minorEastAsia"/>
          <w:sz w:val="24"/>
        </w:rPr>
        <w:t>。成交供应商就采购项目和分包项目向采购人负责，分包供应商就分包项目承担责任。</w:t>
      </w:r>
    </w:p>
    <w:bookmarkEnd w:id="537"/>
    <w:bookmarkEnd w:id="538"/>
    <w:bookmarkEnd w:id="539"/>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pPr>
        <w:numPr>
          <w:ilvl w:val="2"/>
          <w:numId w:val="8"/>
        </w:numPr>
        <w:snapToGrid w:val="0"/>
        <w:spacing w:line="360" w:lineRule="auto"/>
        <w:rPr>
          <w:rFonts w:eastAsiaTheme="minorEastAsia"/>
          <w:sz w:val="24"/>
        </w:rPr>
      </w:pPr>
      <w:r>
        <w:rPr>
          <w:rFonts w:eastAsiaTheme="minorEastAsia"/>
          <w:sz w:val="24"/>
        </w:rPr>
        <w:t>供应商认为询价通知书、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8"/>
        </w:numPr>
        <w:snapToGrid w:val="0"/>
        <w:spacing w:line="360" w:lineRule="auto"/>
        <w:rPr>
          <w:rFonts w:eastAsiaTheme="minorEastAsia"/>
          <w:sz w:val="24"/>
        </w:rPr>
      </w:pPr>
      <w:r>
        <w:rPr>
          <w:rFonts w:eastAsiaTheme="minorEastAsia"/>
          <w:sz w:val="24"/>
        </w:rPr>
        <w:t>质疑函须使用财政部制定的范本文件。</w:t>
      </w:r>
    </w:p>
    <w:p>
      <w:pPr>
        <w:numPr>
          <w:ilvl w:val="2"/>
          <w:numId w:val="8"/>
        </w:numPr>
        <w:snapToGrid w:val="0"/>
        <w:spacing w:line="360" w:lineRule="auto"/>
        <w:rPr>
          <w:rFonts w:eastAsiaTheme="minorEastAsia"/>
          <w:sz w:val="24"/>
        </w:rPr>
      </w:pPr>
      <w:r>
        <w:rPr>
          <w:rFonts w:eastAsiaTheme="minorEastAsia"/>
          <w:sz w:val="24"/>
        </w:rPr>
        <w:t>供应商为自然人的，应当由本人签字；供应商为法人或者其他组织的，应当由法定代表人、主要负责人，或者其授权代表签字或者盖章，并加盖公章。</w:t>
      </w:r>
    </w:p>
    <w:p>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574" w:name="_Toc487900382"/>
      <w:bookmarkEnd w:id="574"/>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pPr>
        <w:numPr>
          <w:ilvl w:val="1"/>
          <w:numId w:val="8"/>
        </w:numPr>
        <w:tabs>
          <w:tab w:val="left" w:pos="1080"/>
          <w:tab w:val="left" w:pos="2014"/>
        </w:tabs>
        <w:snapToGrid w:val="0"/>
        <w:spacing w:line="360" w:lineRule="auto"/>
        <w:ind w:left="1077" w:hanging="720"/>
        <w:rPr>
          <w:rFonts w:eastAsiaTheme="minorEastAsia"/>
          <w:sz w:val="24"/>
        </w:rPr>
        <w:sectPr>
          <w:footerReference r:id="rId7" w:type="even"/>
          <w:pgSz w:w="11907" w:h="16840"/>
          <w:pgMar w:top="1440" w:right="1304" w:bottom="1440" w:left="1304" w:header="851" w:footer="851" w:gutter="0"/>
          <w:cols w:space="720" w:num="1"/>
          <w:docGrid w:linePitch="462" w:charSpace="0"/>
        </w:sectPr>
      </w:pPr>
      <w:r>
        <w:rPr>
          <w:rFonts w:eastAsiaTheme="minorEastAsia"/>
          <w:sz w:val="24"/>
        </w:rPr>
        <w:t>收费对象、收费标准及缴纳时间见《供应商须知资料表》。</w:t>
      </w:r>
    </w:p>
    <w:p>
      <w:pPr>
        <w:spacing w:line="360" w:lineRule="auto"/>
        <w:jc w:val="center"/>
        <w:outlineLvl w:val="0"/>
        <w:rPr>
          <w:rFonts w:eastAsiaTheme="minorEastAsia"/>
          <w:b/>
          <w:sz w:val="36"/>
          <w:szCs w:val="36"/>
        </w:rPr>
      </w:pPr>
      <w:bookmarkStart w:id="575" w:name="_Toc353825544"/>
      <w:bookmarkStart w:id="576" w:name="_Toc150480792"/>
      <w:bookmarkStart w:id="577" w:name="_Toc226965827"/>
      <w:bookmarkStart w:id="578" w:name="_Toc264969244"/>
      <w:bookmarkStart w:id="579" w:name="_Toc226337250"/>
      <w:bookmarkStart w:id="580" w:name="_Toc265228392"/>
      <w:bookmarkStart w:id="581" w:name="_Toc353873934"/>
      <w:bookmarkStart w:id="582" w:name="_Toc96848464"/>
      <w:bookmarkStart w:id="583" w:name="_Toc127151554"/>
      <w:bookmarkStart w:id="584" w:name="_Toc305158896"/>
      <w:bookmarkStart w:id="585" w:name="_Toc353873664"/>
      <w:bookmarkStart w:id="586" w:name="_Toc150774759"/>
      <w:bookmarkStart w:id="587" w:name="_Toc305158822"/>
      <w:bookmarkStart w:id="588" w:name="_Toc142311056"/>
      <w:bookmarkStart w:id="589" w:name="_Toc99301347"/>
      <w:r>
        <w:rPr>
          <w:rFonts w:eastAsiaTheme="minorEastAsia"/>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Fonts w:eastAsiaTheme="minorEastAsia"/>
          <w:b/>
          <w:sz w:val="36"/>
          <w:szCs w:val="36"/>
        </w:rPr>
        <w:t>评审程序和评定成交的标准</w:t>
      </w:r>
      <w:bookmarkEnd w:id="589"/>
    </w:p>
    <w:p>
      <w:pPr>
        <w:numPr>
          <w:ilvl w:val="0"/>
          <w:numId w:val="10"/>
        </w:numPr>
        <w:tabs>
          <w:tab w:val="left" w:pos="360"/>
          <w:tab w:val="left" w:pos="426"/>
        </w:tabs>
        <w:snapToGrid w:val="0"/>
        <w:spacing w:line="360" w:lineRule="auto"/>
        <w:outlineLvl w:val="1"/>
        <w:rPr>
          <w:rFonts w:eastAsiaTheme="minorEastAsia"/>
          <w:sz w:val="24"/>
        </w:rPr>
      </w:pPr>
      <w:r>
        <w:rPr>
          <w:rFonts w:eastAsiaTheme="minorEastAsia"/>
          <w:sz w:val="24"/>
        </w:rPr>
        <w:t>响应文件的资格审查和符合性检查</w:t>
      </w:r>
    </w:p>
    <w:p>
      <w:pPr>
        <w:numPr>
          <w:ilvl w:val="1"/>
          <w:numId w:val="10"/>
        </w:numPr>
        <w:tabs>
          <w:tab w:val="left" w:pos="360"/>
          <w:tab w:val="left" w:pos="426"/>
          <w:tab w:val="left" w:pos="900"/>
        </w:tabs>
        <w:snapToGrid w:val="0"/>
        <w:spacing w:line="360" w:lineRule="auto"/>
        <w:ind w:left="900" w:leftChars="200" w:hanging="480" w:hangingChars="200"/>
        <w:outlineLvl w:val="1"/>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询价小组将根据《资格审查要求》和《符合性检查要求》中规定的内容，对供应商进行审查，并形成审查结果。供应商《响应文件》有任何一项不符合《资格审查要求》和《符合性检查要求》的，视为</w:t>
      </w:r>
      <w:r>
        <w:rPr>
          <w:rFonts w:eastAsiaTheme="minorEastAsia"/>
          <w:b/>
          <w:color w:val="000000" w:themeColor="text1"/>
          <w:kern w:val="0"/>
          <w:sz w:val="24"/>
          <w14:textFill>
            <w14:solidFill>
              <w14:schemeClr w14:val="tx1"/>
            </w14:solidFill>
          </w14:textFill>
        </w:rPr>
        <w:t>无效响应</w:t>
      </w:r>
      <w:r>
        <w:rPr>
          <w:rFonts w:eastAsiaTheme="minorEastAsia"/>
          <w:color w:val="000000" w:themeColor="text1"/>
          <w:kern w:val="0"/>
          <w:sz w:val="24"/>
          <w14:textFill>
            <w14:solidFill>
              <w14:schemeClr w14:val="tx1"/>
            </w14:solidFill>
          </w14:textFill>
        </w:rPr>
        <w:t>。</w:t>
      </w:r>
    </w:p>
    <w:p>
      <w:pPr>
        <w:numPr>
          <w:ilvl w:val="1"/>
          <w:numId w:val="10"/>
        </w:numPr>
        <w:tabs>
          <w:tab w:val="left" w:pos="360"/>
          <w:tab w:val="left" w:pos="426"/>
          <w:tab w:val="left" w:pos="900"/>
        </w:tabs>
        <w:snapToGrid w:val="0"/>
        <w:spacing w:line="360" w:lineRule="auto"/>
        <w:ind w:left="900" w:leftChars="200" w:hanging="480" w:hangingChars="200"/>
        <w:outlineLvl w:val="1"/>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《资格审查要求》中对格式有要求的，除询价通知书另有规定外，均为“实质性格式”文件。</w:t>
      </w:r>
    </w:p>
    <w:p>
      <w:pPr>
        <w:numPr>
          <w:ilvl w:val="1"/>
          <w:numId w:val="10"/>
        </w:numPr>
        <w:tabs>
          <w:tab w:val="left" w:pos="360"/>
          <w:tab w:val="left" w:pos="426"/>
          <w:tab w:val="left" w:pos="900"/>
        </w:tabs>
        <w:snapToGrid w:val="0"/>
        <w:spacing w:line="360" w:lineRule="auto"/>
        <w:ind w:left="900" w:leftChars="200" w:hanging="480" w:hangingChars="200"/>
        <w:outlineLvl w:val="1"/>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《资格审查要求》见下表：</w:t>
      </w:r>
    </w:p>
    <w:p>
      <w:pPr>
        <w:jc w:val="center"/>
        <w:rPr>
          <w:b/>
          <w:sz w:val="24"/>
        </w:rPr>
      </w:pPr>
      <w:r>
        <w:rPr>
          <w:b/>
          <w:sz w:val="24"/>
        </w:rPr>
        <w:t>资格审查要求</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931"/>
        <w:gridCol w:w="4910"/>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378" w:type="pct"/>
            <w:vAlign w:val="center"/>
          </w:tcPr>
          <w:p>
            <w:pPr>
              <w:tabs>
                <w:tab w:val="left" w:pos="1080"/>
              </w:tabs>
              <w:snapToGrid w:val="0"/>
              <w:jc w:val="center"/>
              <w:rPr>
                <w:rFonts w:eastAsiaTheme="minorEastAsia"/>
                <w:b/>
                <w:sz w:val="24"/>
              </w:rPr>
            </w:pPr>
            <w:bookmarkStart w:id="590" w:name="_Hlt487972895"/>
            <w:bookmarkEnd w:id="590"/>
            <w:r>
              <w:rPr>
                <w:rFonts w:eastAsiaTheme="minorEastAsia"/>
                <w:b/>
                <w:sz w:val="24"/>
              </w:rPr>
              <w:t>序号</w:t>
            </w:r>
          </w:p>
        </w:tc>
        <w:tc>
          <w:tcPr>
            <w:tcW w:w="1014" w:type="pct"/>
            <w:vAlign w:val="center"/>
          </w:tcPr>
          <w:p>
            <w:pPr>
              <w:tabs>
                <w:tab w:val="left" w:pos="1080"/>
              </w:tabs>
              <w:snapToGrid w:val="0"/>
              <w:jc w:val="center"/>
              <w:rPr>
                <w:rFonts w:eastAsiaTheme="minorEastAsia"/>
                <w:b/>
                <w:sz w:val="24"/>
              </w:rPr>
            </w:pPr>
            <w:r>
              <w:rPr>
                <w:rFonts w:eastAsiaTheme="minorEastAsia"/>
                <w:b/>
                <w:sz w:val="24"/>
              </w:rPr>
              <w:t>审查因素</w:t>
            </w:r>
          </w:p>
        </w:tc>
        <w:tc>
          <w:tcPr>
            <w:tcW w:w="2579" w:type="pct"/>
            <w:vAlign w:val="center"/>
          </w:tcPr>
          <w:p>
            <w:pPr>
              <w:tabs>
                <w:tab w:val="left" w:pos="1080"/>
              </w:tabs>
              <w:snapToGrid w:val="0"/>
              <w:jc w:val="center"/>
              <w:rPr>
                <w:rFonts w:eastAsiaTheme="minorEastAsia"/>
                <w:b/>
                <w:sz w:val="24"/>
              </w:rPr>
            </w:pPr>
            <w:r>
              <w:rPr>
                <w:rFonts w:eastAsiaTheme="minorEastAsia"/>
                <w:b/>
                <w:sz w:val="24"/>
              </w:rPr>
              <w:t>审查内容</w:t>
            </w:r>
          </w:p>
        </w:tc>
        <w:tc>
          <w:tcPr>
            <w:tcW w:w="1027" w:type="pct"/>
            <w:vAlign w:val="center"/>
          </w:tcPr>
          <w:p>
            <w:pPr>
              <w:tabs>
                <w:tab w:val="left" w:pos="1080"/>
              </w:tabs>
              <w:snapToGrid w:val="0"/>
              <w:jc w:val="center"/>
              <w:rPr>
                <w:rFonts w:eastAsiaTheme="minorEastAsia"/>
                <w:b/>
                <w:sz w:val="24"/>
              </w:rPr>
            </w:pPr>
            <w:r>
              <w:rPr>
                <w:rFonts w:eastAsiaTheme="minorEastAsia"/>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8" w:type="pct"/>
            <w:vAlign w:val="center"/>
          </w:tcPr>
          <w:p>
            <w:pPr>
              <w:tabs>
                <w:tab w:val="left" w:pos="1080"/>
              </w:tabs>
              <w:snapToGrid w:val="0"/>
              <w:jc w:val="center"/>
              <w:rPr>
                <w:rFonts w:eastAsiaTheme="minorEastAsia"/>
                <w:sz w:val="24"/>
              </w:rPr>
            </w:pPr>
            <w:r>
              <w:rPr>
                <w:rFonts w:eastAsiaTheme="minorEastAsia"/>
                <w:sz w:val="24"/>
              </w:rPr>
              <w:t>1</w:t>
            </w:r>
          </w:p>
        </w:tc>
        <w:tc>
          <w:tcPr>
            <w:tcW w:w="1014" w:type="pct"/>
            <w:vAlign w:val="center"/>
          </w:tcPr>
          <w:p>
            <w:pPr>
              <w:tabs>
                <w:tab w:val="left" w:pos="1080"/>
              </w:tabs>
              <w:snapToGrid w:val="0"/>
              <w:rPr>
                <w:rFonts w:eastAsiaTheme="minorEastAsia"/>
                <w:sz w:val="24"/>
              </w:rPr>
            </w:pPr>
            <w:r>
              <w:rPr>
                <w:rFonts w:eastAsiaTheme="minorEastAsia"/>
                <w:sz w:val="24"/>
              </w:rPr>
              <w:t>满足《中华人民共和国政府采购法》第二十二条规定及法律法规的其他规定</w:t>
            </w:r>
          </w:p>
        </w:tc>
        <w:tc>
          <w:tcPr>
            <w:tcW w:w="2579" w:type="pct"/>
            <w:vAlign w:val="center"/>
          </w:tcPr>
          <w:p>
            <w:pPr>
              <w:tabs>
                <w:tab w:val="left" w:pos="1080"/>
              </w:tabs>
              <w:snapToGrid w:val="0"/>
              <w:rPr>
                <w:rFonts w:eastAsiaTheme="minorEastAsia"/>
                <w:sz w:val="24"/>
              </w:rPr>
            </w:pPr>
            <w:r>
              <w:rPr>
                <w:rFonts w:eastAsiaTheme="minorEastAsia"/>
                <w:sz w:val="24"/>
              </w:rPr>
              <w:t>具体规定见第一章《采购邀请》</w:t>
            </w:r>
          </w:p>
        </w:tc>
        <w:tc>
          <w:tcPr>
            <w:tcW w:w="1027" w:type="pct"/>
            <w:vAlign w:val="center"/>
          </w:tcPr>
          <w:p>
            <w:pPr>
              <w:tabs>
                <w:tab w:val="left" w:pos="1080"/>
              </w:tabs>
              <w:snapToGrid w:val="0"/>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8" w:type="pct"/>
            <w:vAlign w:val="center"/>
          </w:tcPr>
          <w:p>
            <w:pPr>
              <w:tabs>
                <w:tab w:val="left" w:pos="1080"/>
              </w:tabs>
              <w:snapToGrid w:val="0"/>
              <w:jc w:val="center"/>
              <w:rPr>
                <w:rFonts w:eastAsiaTheme="minorEastAsia"/>
                <w:sz w:val="24"/>
              </w:rPr>
            </w:pPr>
            <w:r>
              <w:rPr>
                <w:rFonts w:eastAsiaTheme="minorEastAsia"/>
                <w:sz w:val="24"/>
              </w:rPr>
              <w:t>1-1</w:t>
            </w:r>
          </w:p>
        </w:tc>
        <w:tc>
          <w:tcPr>
            <w:tcW w:w="1014" w:type="pct"/>
            <w:vAlign w:val="center"/>
          </w:tcPr>
          <w:p>
            <w:pPr>
              <w:tabs>
                <w:tab w:val="left" w:pos="1080"/>
              </w:tabs>
              <w:snapToGrid w:val="0"/>
              <w:rPr>
                <w:rFonts w:eastAsiaTheme="minorEastAsia"/>
                <w:sz w:val="24"/>
              </w:rPr>
            </w:pPr>
            <w:r>
              <w:rPr>
                <w:rFonts w:eastAsiaTheme="minorEastAsia"/>
                <w:sz w:val="24"/>
              </w:rPr>
              <w:t>营业执照等证明文件</w:t>
            </w:r>
          </w:p>
        </w:tc>
        <w:tc>
          <w:tcPr>
            <w:tcW w:w="2579" w:type="pct"/>
            <w:vAlign w:val="center"/>
          </w:tcPr>
          <w:p>
            <w:pPr>
              <w:tabs>
                <w:tab w:val="left" w:pos="1080"/>
              </w:tabs>
              <w:snapToGrid w:val="0"/>
              <w:rPr>
                <w:rFonts w:eastAsiaTheme="minorEastAsia"/>
                <w:sz w:val="24"/>
              </w:rPr>
            </w:pPr>
            <w:r>
              <w:rPr>
                <w:rFonts w:eastAsiaTheme="minorEastAsia"/>
                <w:sz w:val="24"/>
              </w:rPr>
              <w:t>供应商为企业（包括合伙企业）的，应提供有效的“营业执照”；</w:t>
            </w:r>
          </w:p>
          <w:p>
            <w:pPr>
              <w:tabs>
                <w:tab w:val="left" w:pos="1080"/>
              </w:tabs>
              <w:snapToGrid w:val="0"/>
              <w:rPr>
                <w:rFonts w:eastAsiaTheme="minorEastAsia"/>
                <w:sz w:val="24"/>
              </w:rPr>
            </w:pPr>
            <w:r>
              <w:rPr>
                <w:rFonts w:eastAsiaTheme="minorEastAsia"/>
                <w:sz w:val="24"/>
              </w:rPr>
              <w:t>供应商为事业单位的，应提供有效的“事业单位法人证书”；</w:t>
            </w:r>
          </w:p>
          <w:p>
            <w:pPr>
              <w:tabs>
                <w:tab w:val="left" w:pos="1080"/>
              </w:tabs>
              <w:snapToGrid w:val="0"/>
              <w:rPr>
                <w:rFonts w:eastAsiaTheme="minorEastAsia"/>
                <w:sz w:val="24"/>
              </w:rPr>
            </w:pPr>
            <w:r>
              <w:rPr>
                <w:rFonts w:eastAsiaTheme="minorEastAsia"/>
                <w:sz w:val="24"/>
              </w:rPr>
              <w:t>供应商</w:t>
            </w:r>
            <w:r>
              <w:rPr>
                <w:rFonts w:hint="eastAsia"/>
                <w:sz w:val="24"/>
              </w:rPr>
              <w:t>是非企业机构的，应提供有效的“执业许可证”、“登记证书”等证明文件</w:t>
            </w:r>
            <w:r>
              <w:rPr>
                <w:rFonts w:eastAsiaTheme="minorEastAsia"/>
                <w:sz w:val="24"/>
              </w:rPr>
              <w:t>；</w:t>
            </w:r>
          </w:p>
          <w:p>
            <w:pPr>
              <w:tabs>
                <w:tab w:val="left" w:pos="1080"/>
              </w:tabs>
              <w:snapToGrid w:val="0"/>
              <w:rPr>
                <w:rFonts w:eastAsiaTheme="minorEastAsia"/>
                <w:sz w:val="24"/>
              </w:rPr>
            </w:pPr>
            <w:r>
              <w:rPr>
                <w:rFonts w:eastAsiaTheme="minorEastAsia"/>
                <w:sz w:val="24"/>
              </w:rPr>
              <w:t>供应商是个体工商户的，应提供有效的“个体工商户营业执照”；</w:t>
            </w:r>
          </w:p>
          <w:p>
            <w:pPr>
              <w:tabs>
                <w:tab w:val="left" w:pos="1080"/>
              </w:tabs>
              <w:snapToGrid w:val="0"/>
              <w:rPr>
                <w:rFonts w:eastAsiaTheme="minorEastAsia"/>
                <w:sz w:val="24"/>
              </w:rPr>
            </w:pPr>
            <w:r>
              <w:rPr>
                <w:rFonts w:eastAsiaTheme="minorEastAsia"/>
                <w:sz w:val="24"/>
              </w:rPr>
              <w:t>供应商是自然人的，应提供有效的自然人身份证明。</w:t>
            </w:r>
          </w:p>
          <w:p>
            <w:pPr>
              <w:tabs>
                <w:tab w:val="left" w:pos="1080"/>
              </w:tabs>
              <w:snapToGrid w:val="0"/>
              <w:jc w:val="left"/>
              <w:rPr>
                <w:rFonts w:eastAsiaTheme="minorEastAsia"/>
                <w:color w:val="000000"/>
                <w:sz w:val="24"/>
              </w:rPr>
            </w:pPr>
            <w:r>
              <w:rPr>
                <w:rFonts w:eastAsiaTheme="minorEastAsia"/>
                <w:color w:val="000000"/>
                <w:sz w:val="24"/>
              </w:rPr>
              <w:t>若本项目允许分支机构参加响应，则分支机构参加</w:t>
            </w:r>
            <w:r>
              <w:rPr>
                <w:rFonts w:eastAsiaTheme="minorEastAsia"/>
                <w:color w:val="000000"/>
                <w:kern w:val="0"/>
                <w:sz w:val="24"/>
              </w:rPr>
              <w:t>响应</w:t>
            </w:r>
            <w:r>
              <w:rPr>
                <w:rFonts w:eastAsiaTheme="minorEastAsia"/>
                <w:color w:val="000000"/>
                <w:sz w:val="24"/>
              </w:rPr>
              <w:t>的，此处可提供该分支机构或其所属法人或其他组织的相应证明文件。</w:t>
            </w:r>
          </w:p>
        </w:tc>
        <w:tc>
          <w:tcPr>
            <w:tcW w:w="1027" w:type="pct"/>
            <w:vAlign w:val="center"/>
          </w:tcPr>
          <w:p>
            <w:pPr>
              <w:tabs>
                <w:tab w:val="left" w:pos="1080"/>
              </w:tabs>
              <w:snapToGrid w:val="0"/>
              <w:rPr>
                <w:rFonts w:eastAsiaTheme="minorEastAsia"/>
                <w:sz w:val="24"/>
              </w:rPr>
            </w:pPr>
            <w:r>
              <w:rPr>
                <w:rFonts w:eastAsiaTheme="minorEastAsia"/>
                <w:sz w:val="24"/>
              </w:rPr>
              <w:t>提供证明文件的</w:t>
            </w:r>
            <w:r>
              <w:rPr>
                <w:rFonts w:hint="eastAsia" w:eastAsiaTheme="minorEastAsia"/>
                <w:sz w:val="24"/>
              </w:rPr>
              <w:t>原</w:t>
            </w:r>
            <w:r>
              <w:rPr>
                <w:rFonts w:eastAsiaTheme="minorEastAsia"/>
                <w:sz w:val="24"/>
              </w:rPr>
              <w:t>件或</w:t>
            </w:r>
            <w:r>
              <w:rPr>
                <w:rFonts w:hint="eastAsia" w:eastAsiaTheme="minorEastAsia"/>
                <w:sz w:val="24"/>
              </w:rPr>
              <w:t>加盖公章的复印件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8" w:type="pct"/>
            <w:vAlign w:val="center"/>
          </w:tcPr>
          <w:p>
            <w:pPr>
              <w:tabs>
                <w:tab w:val="left" w:pos="1080"/>
              </w:tabs>
              <w:snapToGrid w:val="0"/>
              <w:jc w:val="center"/>
              <w:rPr>
                <w:rFonts w:eastAsiaTheme="minorEastAsia"/>
                <w:sz w:val="24"/>
              </w:rPr>
            </w:pPr>
            <w:r>
              <w:rPr>
                <w:rFonts w:eastAsiaTheme="minorEastAsia"/>
                <w:sz w:val="24"/>
              </w:rPr>
              <w:t>1-2</w:t>
            </w:r>
          </w:p>
        </w:tc>
        <w:tc>
          <w:tcPr>
            <w:tcW w:w="1014" w:type="pct"/>
            <w:vAlign w:val="center"/>
          </w:tcPr>
          <w:p>
            <w:pPr>
              <w:tabs>
                <w:tab w:val="left" w:pos="1080"/>
              </w:tabs>
              <w:snapToGrid w:val="0"/>
              <w:rPr>
                <w:rFonts w:eastAsiaTheme="minorEastAsia"/>
                <w:sz w:val="24"/>
              </w:rPr>
            </w:pPr>
            <w:r>
              <w:rPr>
                <w:rFonts w:eastAsiaTheme="minorEastAsia"/>
                <w:sz w:val="24"/>
              </w:rPr>
              <w:t>供应商资格声明书</w:t>
            </w:r>
          </w:p>
        </w:tc>
        <w:tc>
          <w:tcPr>
            <w:tcW w:w="2579" w:type="pct"/>
            <w:vAlign w:val="center"/>
          </w:tcPr>
          <w:p>
            <w:pPr>
              <w:tabs>
                <w:tab w:val="left" w:pos="1080"/>
              </w:tabs>
              <w:snapToGrid w:val="0"/>
              <w:rPr>
                <w:rFonts w:eastAsiaTheme="minorEastAsia"/>
                <w:sz w:val="24"/>
              </w:rPr>
            </w:pPr>
            <w:r>
              <w:rPr>
                <w:rFonts w:eastAsiaTheme="minorEastAsia"/>
                <w:sz w:val="24"/>
              </w:rPr>
              <w:t>提供了符合询价通知书要求的《供应商资格声明书》。</w:t>
            </w:r>
          </w:p>
        </w:tc>
        <w:tc>
          <w:tcPr>
            <w:tcW w:w="1027" w:type="pct"/>
            <w:vAlign w:val="center"/>
          </w:tcPr>
          <w:p>
            <w:pPr>
              <w:tabs>
                <w:tab w:val="left" w:pos="1080"/>
              </w:tabs>
              <w:snapToGrid w:val="0"/>
              <w:rPr>
                <w:rFonts w:eastAsiaTheme="minorEastAsia"/>
                <w:sz w:val="24"/>
              </w:rPr>
            </w:pPr>
            <w:r>
              <w:rPr>
                <w:rFonts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8" w:type="pct"/>
            <w:vAlign w:val="center"/>
          </w:tcPr>
          <w:p>
            <w:pPr>
              <w:tabs>
                <w:tab w:val="left" w:pos="1080"/>
              </w:tabs>
              <w:snapToGrid w:val="0"/>
              <w:jc w:val="center"/>
              <w:rPr>
                <w:rFonts w:eastAsiaTheme="minorEastAsia"/>
                <w:sz w:val="24"/>
              </w:rPr>
            </w:pPr>
            <w:r>
              <w:rPr>
                <w:rFonts w:eastAsiaTheme="minorEastAsia"/>
                <w:sz w:val="24"/>
              </w:rPr>
              <w:t>1-3</w:t>
            </w:r>
          </w:p>
        </w:tc>
        <w:tc>
          <w:tcPr>
            <w:tcW w:w="1014" w:type="pct"/>
            <w:vAlign w:val="center"/>
          </w:tcPr>
          <w:p>
            <w:pPr>
              <w:tabs>
                <w:tab w:val="left" w:pos="1080"/>
              </w:tabs>
              <w:snapToGrid w:val="0"/>
              <w:rPr>
                <w:rFonts w:eastAsiaTheme="minorEastAsia"/>
                <w:sz w:val="24"/>
              </w:rPr>
            </w:pPr>
            <w:r>
              <w:rPr>
                <w:rFonts w:eastAsiaTheme="minorEastAsia"/>
                <w:sz w:val="24"/>
              </w:rPr>
              <w:t>供应商信用记录</w:t>
            </w:r>
          </w:p>
        </w:tc>
        <w:tc>
          <w:tcPr>
            <w:tcW w:w="2579" w:type="pct"/>
            <w:vAlign w:val="center"/>
          </w:tcPr>
          <w:p>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pPr>
              <w:tabs>
                <w:tab w:val="left" w:pos="900"/>
                <w:tab w:val="left" w:pos="1980"/>
              </w:tabs>
              <w:snapToGrid w:val="0"/>
              <w:rPr>
                <w:rFonts w:eastAsiaTheme="minorEastAsia"/>
                <w:sz w:val="24"/>
              </w:rPr>
            </w:pPr>
            <w:r>
              <w:rPr>
                <w:rFonts w:eastAsiaTheme="minorEastAsia"/>
                <w:sz w:val="24"/>
              </w:rPr>
              <w:t>截止时点：提交响应文件截止时间以后、资格审查阶段采购人或采购代理机构的实际查询时间；</w:t>
            </w:r>
          </w:p>
          <w:p>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信用信息查询记录和证据留存具体方式：查询结果网页打印页作为查询记录和证据，与其他采购文件一并保存；</w:t>
            </w:r>
          </w:p>
          <w:p>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。联合体形式响应的，联合体成员存在不良信用记录，视同联合体存在不良信用记录。</w:t>
            </w:r>
          </w:p>
        </w:tc>
        <w:tc>
          <w:tcPr>
            <w:tcW w:w="1027" w:type="pct"/>
            <w:vAlign w:val="center"/>
          </w:tcPr>
          <w:p>
            <w:pPr>
              <w:tabs>
                <w:tab w:val="left" w:pos="1080"/>
              </w:tabs>
              <w:snapToGrid w:val="0"/>
              <w:rPr>
                <w:rFonts w:eastAsiaTheme="minorEastAsia"/>
                <w:sz w:val="24"/>
              </w:rPr>
            </w:pPr>
            <w:r>
              <w:rPr>
                <w:rFonts w:eastAsiaTheme="minorEastAsia"/>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8" w:type="pct"/>
            <w:vAlign w:val="center"/>
          </w:tcPr>
          <w:p>
            <w:pPr>
              <w:tabs>
                <w:tab w:val="left" w:pos="1080"/>
              </w:tabs>
              <w:snapToGrid w:val="0"/>
              <w:jc w:val="center"/>
              <w:rPr>
                <w:rFonts w:eastAsiaTheme="minorEastAsia"/>
                <w:sz w:val="24"/>
              </w:rPr>
            </w:pPr>
            <w:r>
              <w:rPr>
                <w:rFonts w:eastAsiaTheme="minorEastAsia"/>
                <w:sz w:val="24"/>
              </w:rPr>
              <w:t>2</w:t>
            </w:r>
          </w:p>
        </w:tc>
        <w:tc>
          <w:tcPr>
            <w:tcW w:w="1014" w:type="pct"/>
            <w:vAlign w:val="center"/>
          </w:tcPr>
          <w:p>
            <w:pPr>
              <w:tabs>
                <w:tab w:val="left" w:pos="1080"/>
              </w:tabs>
              <w:snapToGrid w:val="0"/>
              <w:rPr>
                <w:rFonts w:eastAsiaTheme="minorEastAsia"/>
                <w:sz w:val="24"/>
              </w:rPr>
            </w:pPr>
            <w:r>
              <w:rPr>
                <w:rFonts w:eastAsiaTheme="minorEastAsia"/>
                <w:sz w:val="24"/>
              </w:rPr>
              <w:t>落实政府采购政策需满足的资格要求</w:t>
            </w:r>
          </w:p>
        </w:tc>
        <w:tc>
          <w:tcPr>
            <w:tcW w:w="2579" w:type="pct"/>
            <w:vAlign w:val="center"/>
          </w:tcPr>
          <w:p>
            <w:pPr>
              <w:tabs>
                <w:tab w:val="left" w:pos="1080"/>
              </w:tabs>
              <w:snapToGrid w:val="0"/>
              <w:rPr>
                <w:rFonts w:eastAsiaTheme="minorEastAsia"/>
                <w:sz w:val="24"/>
              </w:rPr>
            </w:pPr>
            <w:r>
              <w:rPr>
                <w:rFonts w:eastAsiaTheme="minorEastAsia"/>
                <w:sz w:val="24"/>
              </w:rPr>
              <w:t>具体要求见第一章《采购邀请》</w:t>
            </w:r>
          </w:p>
        </w:tc>
        <w:tc>
          <w:tcPr>
            <w:tcW w:w="1027" w:type="pct"/>
            <w:vAlign w:val="center"/>
          </w:tcPr>
          <w:p>
            <w:pPr>
              <w:tabs>
                <w:tab w:val="left" w:pos="1080"/>
              </w:tabs>
              <w:snapToGrid w:val="0"/>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8" w:type="pct"/>
            <w:vAlign w:val="center"/>
          </w:tcPr>
          <w:p>
            <w:pPr>
              <w:tabs>
                <w:tab w:val="left" w:pos="1080"/>
              </w:tabs>
              <w:snapToGrid w:val="0"/>
              <w:jc w:val="center"/>
              <w:rPr>
                <w:rFonts w:eastAsiaTheme="minorEastAsia"/>
                <w:sz w:val="24"/>
              </w:rPr>
            </w:pPr>
            <w:r>
              <w:rPr>
                <w:rFonts w:eastAsiaTheme="minorEastAsia"/>
                <w:sz w:val="24"/>
              </w:rPr>
              <w:t>2-1</w:t>
            </w:r>
          </w:p>
        </w:tc>
        <w:tc>
          <w:tcPr>
            <w:tcW w:w="1014" w:type="pct"/>
            <w:vAlign w:val="center"/>
          </w:tcPr>
          <w:p>
            <w:pPr>
              <w:tabs>
                <w:tab w:val="left" w:pos="1080"/>
              </w:tabs>
              <w:snapToGrid w:val="0"/>
              <w:rPr>
                <w:rFonts w:eastAsiaTheme="minorEastAsia"/>
                <w:sz w:val="24"/>
              </w:rPr>
            </w:pPr>
            <w:r>
              <w:rPr>
                <w:rFonts w:eastAsiaTheme="minorEastAsia"/>
                <w:sz w:val="24"/>
              </w:rPr>
              <w:t>中小企业声明函</w:t>
            </w:r>
          </w:p>
        </w:tc>
        <w:tc>
          <w:tcPr>
            <w:tcW w:w="2579" w:type="pct"/>
            <w:vAlign w:val="center"/>
          </w:tcPr>
          <w:p>
            <w:pPr>
              <w:tabs>
                <w:tab w:val="left" w:pos="1080"/>
              </w:tabs>
              <w:snapToGrid w:val="0"/>
              <w:rPr>
                <w:rFonts w:eastAsiaTheme="minorEastAsia"/>
                <w:b/>
                <w:sz w:val="24"/>
              </w:rPr>
            </w:pPr>
            <w:r>
              <w:rPr>
                <w:rFonts w:hint="eastAsia" w:eastAsiaTheme="minorEastAsia"/>
                <w:b/>
                <w:sz w:val="24"/>
              </w:rPr>
              <w:t>当本项目（包）涉及预留份额专门面向中小企业采购，此时建议在《资格证明文件》中提供。</w:t>
            </w:r>
          </w:p>
          <w:p>
            <w:pPr>
              <w:tabs>
                <w:tab w:val="left" w:pos="1080"/>
              </w:tabs>
              <w:snapToGrid w:val="0"/>
              <w:rPr>
                <w:rFonts w:eastAsiaTheme="minorEastAsia"/>
                <w:sz w:val="24"/>
              </w:rPr>
            </w:pPr>
            <w:r>
              <w:rPr>
                <w:rFonts w:hint="eastAsia" w:eastAsiaTheme="minorEastAsia"/>
                <w:sz w:val="24"/>
              </w:rPr>
              <w:t>1、供应商单独响应的，应提供中小企业声明函；如为监狱企业或残疾人福利性单位，不必提供中小企业声明函，但须按注1或注2要求提供证明材料。</w:t>
            </w:r>
          </w:p>
          <w:p>
            <w:pPr>
              <w:tabs>
                <w:tab w:val="left" w:pos="1080"/>
              </w:tabs>
              <w:snapToGrid w:val="0"/>
              <w:rPr>
                <w:rFonts w:eastAsiaTheme="minorEastAsia"/>
                <w:sz w:val="24"/>
              </w:rPr>
            </w:pPr>
            <w:r>
              <w:rPr>
                <w:rFonts w:hint="eastAsia" w:eastAsiaTheme="minorEastAsia"/>
                <w:sz w:val="24"/>
              </w:rPr>
              <w:t>2、如询价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rPr>
                <w:rFonts w:eastAsiaTheme="minorEastAsia"/>
                <w:sz w:val="24"/>
              </w:rPr>
            </w:pPr>
          </w:p>
          <w:p>
            <w:pPr>
              <w:tabs>
                <w:tab w:val="left" w:pos="1080"/>
              </w:tabs>
              <w:snapToGrid w:val="0"/>
              <w:rPr>
                <w:rFonts w:eastAsiaTheme="minorEastAsia"/>
                <w:sz w:val="24"/>
              </w:rPr>
            </w:pPr>
            <w:r>
              <w:rPr>
                <w:rFonts w:hint="eastAsia" w:eastAsiaTheme="minorEastAsia"/>
                <w:sz w:val="24"/>
              </w:rPr>
              <w:t>注1：监狱企业须提供由省级以上监狱管理局、戒毒管理局（含新疆生产建设兵团）出具的属于监狱企业的证明文件。</w:t>
            </w:r>
          </w:p>
          <w:p>
            <w:pPr>
              <w:tabs>
                <w:tab w:val="left" w:pos="1080"/>
              </w:tabs>
              <w:snapToGrid w:val="0"/>
              <w:rPr>
                <w:rFonts w:eastAsiaTheme="minorEastAsia"/>
                <w:sz w:val="24"/>
              </w:rPr>
            </w:pPr>
            <w:r>
              <w:rPr>
                <w:rFonts w:hint="eastAsia" w:eastAsiaTheme="minorEastAsia"/>
                <w:sz w:val="24"/>
              </w:rPr>
              <w:t>注2：残疾人福利性单位须按询价文件要求提供《残疾人福利性单位声明函》。</w:t>
            </w:r>
          </w:p>
        </w:tc>
        <w:tc>
          <w:tcPr>
            <w:tcW w:w="1027" w:type="pct"/>
            <w:vAlign w:val="center"/>
          </w:tcPr>
          <w:p>
            <w:pPr>
              <w:tabs>
                <w:tab w:val="left" w:pos="1080"/>
              </w:tabs>
              <w:snapToGrid w:val="0"/>
              <w:rPr>
                <w:rFonts w:eastAsiaTheme="minorEastAsia"/>
                <w:sz w:val="24"/>
              </w:rPr>
            </w:pPr>
            <w:r>
              <w:rPr>
                <w:rFonts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8" w:type="pct"/>
            <w:vAlign w:val="center"/>
          </w:tcPr>
          <w:p>
            <w:pPr>
              <w:tabs>
                <w:tab w:val="left" w:pos="1080"/>
              </w:tabs>
              <w:snapToGrid w:val="0"/>
              <w:jc w:val="center"/>
              <w:rPr>
                <w:rFonts w:eastAsiaTheme="minorEastAsia"/>
                <w:sz w:val="24"/>
              </w:rPr>
            </w:pPr>
            <w:r>
              <w:rPr>
                <w:rFonts w:eastAsiaTheme="minorEastAsia"/>
                <w:sz w:val="24"/>
              </w:rPr>
              <w:t>2-</w:t>
            </w:r>
            <w:r>
              <w:rPr>
                <w:rFonts w:hint="eastAsia" w:eastAsiaTheme="minorEastAsia"/>
                <w:sz w:val="24"/>
              </w:rPr>
              <w:t>2</w:t>
            </w:r>
          </w:p>
        </w:tc>
        <w:tc>
          <w:tcPr>
            <w:tcW w:w="1014" w:type="pct"/>
            <w:vAlign w:val="center"/>
          </w:tcPr>
          <w:p>
            <w:pPr>
              <w:tabs>
                <w:tab w:val="left" w:pos="1080"/>
              </w:tabs>
              <w:snapToGrid w:val="0"/>
              <w:rPr>
                <w:rFonts w:eastAsiaTheme="minorEastAsia"/>
                <w:sz w:val="24"/>
              </w:rPr>
            </w:pPr>
            <w:r>
              <w:rPr>
                <w:sz w:val="24"/>
              </w:rPr>
              <w:t>其它落实政府采购政策的资格要求</w:t>
            </w:r>
          </w:p>
        </w:tc>
        <w:tc>
          <w:tcPr>
            <w:tcW w:w="2579" w:type="pct"/>
            <w:vAlign w:val="center"/>
          </w:tcPr>
          <w:p>
            <w:pPr>
              <w:tabs>
                <w:tab w:val="left" w:pos="1080"/>
              </w:tabs>
              <w:snapToGrid w:val="0"/>
              <w:rPr>
                <w:rFonts w:eastAsiaTheme="minorEastAsia"/>
                <w:sz w:val="24"/>
              </w:rPr>
            </w:pPr>
            <w:r>
              <w:rPr>
                <w:rFonts w:eastAsiaTheme="minorEastAsia"/>
                <w:sz w:val="24"/>
              </w:rPr>
              <w:t>如有，见第一章《采购邀请》</w:t>
            </w:r>
          </w:p>
        </w:tc>
        <w:tc>
          <w:tcPr>
            <w:tcW w:w="1027" w:type="pct"/>
            <w:vAlign w:val="center"/>
          </w:tcPr>
          <w:p>
            <w:pPr>
              <w:tabs>
                <w:tab w:val="left" w:pos="1080"/>
              </w:tabs>
              <w:snapToGrid w:val="0"/>
              <w:rPr>
                <w:rFonts w:eastAsiaTheme="minorEastAsia"/>
                <w:sz w:val="24"/>
              </w:rPr>
            </w:pPr>
            <w:r>
              <w:rPr>
                <w:sz w:val="24"/>
              </w:rPr>
              <w:t>提供证明文件的</w:t>
            </w:r>
            <w:r>
              <w:rPr>
                <w:rFonts w:hint="eastAsia"/>
                <w:sz w:val="24"/>
              </w:rPr>
              <w:t>原</w:t>
            </w:r>
            <w:r>
              <w:rPr>
                <w:sz w:val="24"/>
              </w:rPr>
              <w:t>件或</w:t>
            </w:r>
            <w:r>
              <w:rPr>
                <w:rFonts w:hint="eastAsia"/>
                <w:sz w:val="24"/>
              </w:rPr>
              <w:t>加盖公章的复印件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8" w:type="pct"/>
            <w:vAlign w:val="center"/>
          </w:tcPr>
          <w:p>
            <w:pPr>
              <w:tabs>
                <w:tab w:val="left" w:pos="1080"/>
              </w:tabs>
              <w:snapToGrid w:val="0"/>
              <w:jc w:val="center"/>
              <w:rPr>
                <w:rFonts w:eastAsiaTheme="minorEastAsia"/>
                <w:sz w:val="24"/>
              </w:rPr>
            </w:pPr>
            <w:r>
              <w:rPr>
                <w:rFonts w:eastAsiaTheme="minorEastAsia"/>
                <w:sz w:val="24"/>
              </w:rPr>
              <w:t>3</w:t>
            </w:r>
          </w:p>
        </w:tc>
        <w:tc>
          <w:tcPr>
            <w:tcW w:w="1014" w:type="pct"/>
            <w:vAlign w:val="center"/>
          </w:tcPr>
          <w:p>
            <w:pPr>
              <w:tabs>
                <w:tab w:val="left" w:pos="1080"/>
              </w:tabs>
              <w:snapToGrid w:val="0"/>
              <w:rPr>
                <w:rFonts w:eastAsiaTheme="minorEastAsia"/>
                <w:sz w:val="24"/>
              </w:rPr>
            </w:pPr>
            <w:r>
              <w:rPr>
                <w:rFonts w:eastAsiaTheme="minorEastAsia"/>
                <w:sz w:val="24"/>
              </w:rPr>
              <w:t>本项目的特定资格要求</w:t>
            </w:r>
          </w:p>
        </w:tc>
        <w:tc>
          <w:tcPr>
            <w:tcW w:w="2579" w:type="pct"/>
            <w:vAlign w:val="center"/>
          </w:tcPr>
          <w:p>
            <w:pPr>
              <w:tabs>
                <w:tab w:val="left" w:pos="1080"/>
              </w:tabs>
              <w:snapToGrid w:val="0"/>
              <w:rPr>
                <w:rFonts w:eastAsiaTheme="minorEastAsia"/>
                <w:sz w:val="24"/>
              </w:rPr>
            </w:pPr>
            <w:r>
              <w:rPr>
                <w:rFonts w:eastAsiaTheme="minorEastAsia"/>
                <w:sz w:val="24"/>
              </w:rPr>
              <w:t>如有，见第一章《采购邀请》</w:t>
            </w:r>
          </w:p>
        </w:tc>
        <w:tc>
          <w:tcPr>
            <w:tcW w:w="1027" w:type="pct"/>
            <w:vAlign w:val="center"/>
          </w:tcPr>
          <w:p>
            <w:pPr>
              <w:tabs>
                <w:tab w:val="left" w:pos="1080"/>
              </w:tabs>
              <w:snapToGrid w:val="0"/>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378" w:type="pct"/>
            <w:vAlign w:val="center"/>
          </w:tcPr>
          <w:p>
            <w:pPr>
              <w:tabs>
                <w:tab w:val="left" w:pos="1080"/>
              </w:tabs>
              <w:snapToGrid w:val="0"/>
              <w:jc w:val="center"/>
              <w:rPr>
                <w:rFonts w:eastAsiaTheme="minorEastAsia"/>
                <w:sz w:val="24"/>
              </w:rPr>
            </w:pPr>
            <w:r>
              <w:rPr>
                <w:rFonts w:eastAsiaTheme="minorEastAsia"/>
                <w:sz w:val="24"/>
              </w:rPr>
              <w:t>3-</w:t>
            </w:r>
            <w:r>
              <w:rPr>
                <w:rFonts w:hint="eastAsia" w:eastAsiaTheme="minorEastAsia"/>
                <w:sz w:val="24"/>
              </w:rPr>
              <w:t>1</w:t>
            </w:r>
          </w:p>
        </w:tc>
        <w:tc>
          <w:tcPr>
            <w:tcW w:w="1014" w:type="pct"/>
            <w:vAlign w:val="center"/>
          </w:tcPr>
          <w:p>
            <w:pPr>
              <w:tabs>
                <w:tab w:val="left" w:pos="1080"/>
              </w:tabs>
              <w:snapToGrid w:val="0"/>
              <w:rPr>
                <w:rFonts w:eastAsiaTheme="minorEastAsia"/>
                <w:sz w:val="24"/>
              </w:rPr>
            </w:pPr>
            <w:r>
              <w:rPr>
                <w:rFonts w:eastAsiaTheme="minorEastAsia"/>
                <w:sz w:val="24"/>
              </w:rPr>
              <w:t>其他特定资格要求</w:t>
            </w:r>
          </w:p>
        </w:tc>
        <w:tc>
          <w:tcPr>
            <w:tcW w:w="2579" w:type="pct"/>
            <w:vAlign w:val="center"/>
          </w:tcPr>
          <w:p>
            <w:pPr>
              <w:tabs>
                <w:tab w:val="left" w:pos="1080"/>
              </w:tabs>
              <w:snapToGrid w:val="0"/>
              <w:rPr>
                <w:rFonts w:eastAsiaTheme="minorEastAsia"/>
                <w:sz w:val="24"/>
              </w:rPr>
            </w:pPr>
            <w:r>
              <w:rPr>
                <w:rFonts w:eastAsiaTheme="minorEastAsia"/>
                <w:color w:val="000000"/>
                <w:sz w:val="24"/>
              </w:rPr>
              <w:t>如有，见</w:t>
            </w:r>
            <w:r>
              <w:rPr>
                <w:rFonts w:eastAsiaTheme="minorEastAsia"/>
                <w:sz w:val="24"/>
              </w:rPr>
              <w:t>第一章《采购邀请》</w:t>
            </w:r>
          </w:p>
        </w:tc>
        <w:tc>
          <w:tcPr>
            <w:tcW w:w="1027" w:type="pct"/>
            <w:vAlign w:val="center"/>
          </w:tcPr>
          <w:p>
            <w:pPr>
              <w:tabs>
                <w:tab w:val="left" w:pos="1080"/>
              </w:tabs>
              <w:snapToGrid w:val="0"/>
              <w:rPr>
                <w:rFonts w:eastAsiaTheme="minorEastAsia"/>
                <w:sz w:val="24"/>
              </w:rPr>
            </w:pPr>
            <w:r>
              <w:rPr>
                <w:rFonts w:eastAsiaTheme="minorEastAsia"/>
                <w:sz w:val="24"/>
              </w:rPr>
              <w:t>提供证明文件的</w:t>
            </w:r>
            <w:r>
              <w:rPr>
                <w:rFonts w:hint="eastAsia" w:eastAsiaTheme="minorEastAsia"/>
                <w:sz w:val="24"/>
              </w:rPr>
              <w:t>原</w:t>
            </w:r>
            <w:r>
              <w:rPr>
                <w:rFonts w:eastAsiaTheme="minorEastAsia"/>
                <w:sz w:val="24"/>
              </w:rPr>
              <w:t>件或</w:t>
            </w:r>
            <w:r>
              <w:rPr>
                <w:rFonts w:hint="eastAsia" w:eastAsiaTheme="minorEastAsia"/>
                <w:sz w:val="24"/>
              </w:rPr>
              <w:t>加盖公章的复印件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378" w:type="pct"/>
            <w:vAlign w:val="center"/>
          </w:tcPr>
          <w:p>
            <w:pPr>
              <w:tabs>
                <w:tab w:val="left" w:pos="1080"/>
              </w:tabs>
              <w:snapToGrid w:val="0"/>
              <w:jc w:val="center"/>
              <w:rPr>
                <w:rFonts w:eastAsiaTheme="minorEastAsia"/>
                <w:sz w:val="24"/>
              </w:rPr>
            </w:pPr>
            <w:r>
              <w:rPr>
                <w:rFonts w:eastAsiaTheme="minorEastAsia"/>
                <w:sz w:val="24"/>
              </w:rPr>
              <w:t>4</w:t>
            </w:r>
          </w:p>
        </w:tc>
        <w:tc>
          <w:tcPr>
            <w:tcW w:w="1014" w:type="pct"/>
            <w:vAlign w:val="center"/>
          </w:tcPr>
          <w:p>
            <w:pPr>
              <w:tabs>
                <w:tab w:val="left" w:pos="1080"/>
              </w:tabs>
              <w:snapToGrid w:val="0"/>
              <w:rPr>
                <w:rFonts w:eastAsiaTheme="minorEastAsia"/>
                <w:sz w:val="24"/>
              </w:rPr>
            </w:pPr>
            <w:r>
              <w:rPr>
                <w:rFonts w:eastAsiaTheme="minorEastAsia"/>
                <w:color w:val="000000"/>
                <w:kern w:val="0"/>
                <w:sz w:val="24"/>
              </w:rPr>
              <w:t>保证金</w:t>
            </w:r>
          </w:p>
        </w:tc>
        <w:tc>
          <w:tcPr>
            <w:tcW w:w="2579" w:type="pct"/>
            <w:vAlign w:val="center"/>
          </w:tcPr>
          <w:p>
            <w:pPr>
              <w:tabs>
                <w:tab w:val="left" w:pos="1080"/>
              </w:tabs>
              <w:snapToGrid w:val="0"/>
              <w:rPr>
                <w:rFonts w:eastAsiaTheme="minorEastAsia"/>
                <w:color w:val="000000"/>
                <w:sz w:val="24"/>
              </w:rPr>
            </w:pPr>
            <w:r>
              <w:rPr>
                <w:rFonts w:eastAsiaTheme="minorEastAsia"/>
                <w:color w:val="000000"/>
                <w:kern w:val="0"/>
                <w:sz w:val="24"/>
              </w:rPr>
              <w:t>按照询价通知书的规定提交保证金的</w:t>
            </w:r>
            <w:r>
              <w:rPr>
                <w:rFonts w:hint="eastAsia" w:eastAsiaTheme="minorEastAsia"/>
                <w:color w:val="000000"/>
                <w:kern w:val="0"/>
                <w:sz w:val="24"/>
              </w:rPr>
              <w:t>。</w:t>
            </w:r>
          </w:p>
        </w:tc>
        <w:tc>
          <w:tcPr>
            <w:tcW w:w="1027" w:type="pct"/>
            <w:vAlign w:val="center"/>
          </w:tcPr>
          <w:p>
            <w:pPr>
              <w:tabs>
                <w:tab w:val="left" w:pos="1080"/>
              </w:tabs>
              <w:snapToGrid w:val="0"/>
              <w:rPr>
                <w:rFonts w:eastAsiaTheme="minorEastAsia"/>
                <w:sz w:val="24"/>
              </w:rPr>
            </w:pPr>
          </w:p>
        </w:tc>
      </w:tr>
    </w:tbl>
    <w:p>
      <w:pPr>
        <w:widowControl/>
        <w:jc w:val="left"/>
        <w:rPr>
          <w:rFonts w:eastAsiaTheme="minorEastAsia"/>
          <w:color w:val="000000" w:themeColor="text1"/>
          <w:kern w:val="0"/>
          <w:sz w:val="24"/>
          <w14:textFill>
            <w14:solidFill>
              <w14:schemeClr w14:val="tx1"/>
            </w14:solidFill>
          </w14:textFill>
        </w:rPr>
      </w:pPr>
      <w:bookmarkStart w:id="591" w:name="_Hlt522424701"/>
      <w:bookmarkEnd w:id="591"/>
      <w:bookmarkStart w:id="592" w:name="_Hlt487900425"/>
      <w:bookmarkEnd w:id="592"/>
      <w:bookmarkStart w:id="593" w:name="_Toc127151779"/>
      <w:bookmarkStart w:id="594" w:name="_Toc353873940"/>
      <w:bookmarkStart w:id="595" w:name="_Toc127161490"/>
      <w:bookmarkStart w:id="596" w:name="_Toc226965858"/>
      <w:bookmarkStart w:id="597" w:name="_Toc353825550"/>
    </w:p>
    <w:p>
      <w:pPr>
        <w:numPr>
          <w:ilvl w:val="1"/>
          <w:numId w:val="10"/>
        </w:numPr>
        <w:tabs>
          <w:tab w:val="left" w:pos="360"/>
          <w:tab w:val="left" w:pos="426"/>
          <w:tab w:val="left" w:pos="900"/>
        </w:tabs>
        <w:snapToGrid w:val="0"/>
        <w:spacing w:line="360" w:lineRule="auto"/>
        <w:ind w:left="900" w:leftChars="200" w:hanging="480" w:hangingChars="200"/>
        <w:outlineLvl w:val="1"/>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w:t>
      </w:r>
      <w:r>
        <w:rPr>
          <w:rFonts w:eastAsiaTheme="minorEastAsia"/>
          <w:sz w:val="24"/>
        </w:rPr>
        <w:t>符合性检查</w:t>
      </w:r>
      <w:r>
        <w:rPr>
          <w:rFonts w:eastAsiaTheme="minorEastAsia"/>
          <w:color w:val="000000" w:themeColor="text1"/>
          <w:kern w:val="0"/>
          <w:sz w:val="24"/>
          <w14:textFill>
            <w14:solidFill>
              <w14:schemeClr w14:val="tx1"/>
            </w14:solidFill>
          </w14:textFill>
        </w:rPr>
        <w:t>要求》见下表：</w:t>
      </w:r>
      <w:bookmarkEnd w:id="593"/>
      <w:bookmarkEnd w:id="594"/>
      <w:bookmarkEnd w:id="595"/>
      <w:bookmarkEnd w:id="596"/>
      <w:bookmarkEnd w:id="597"/>
      <w:bookmarkStart w:id="598" w:name="_Toc353873941"/>
      <w:bookmarkStart w:id="599" w:name="_Toc353825551"/>
      <w:bookmarkStart w:id="600" w:name="_Toc264969245"/>
      <w:bookmarkStart w:id="601" w:name="_Toc353825545"/>
      <w:bookmarkStart w:id="602" w:name="_Toc150774760"/>
      <w:bookmarkStart w:id="603" w:name="_Toc150480793"/>
      <w:bookmarkStart w:id="604" w:name="_Toc353873935"/>
      <w:bookmarkStart w:id="605" w:name="_Toc226965828"/>
      <w:bookmarkStart w:id="606" w:name="_Toc353873665"/>
      <w:bookmarkStart w:id="607" w:name="_Toc195842920"/>
      <w:bookmarkStart w:id="608" w:name="_Toc265228393"/>
      <w:bookmarkStart w:id="609" w:name="_Toc127151555"/>
      <w:bookmarkStart w:id="610" w:name="_Toc305158823"/>
      <w:bookmarkStart w:id="611" w:name="_Toc226337251"/>
      <w:bookmarkStart w:id="612" w:name="_Toc142311057"/>
      <w:bookmarkStart w:id="613" w:name="_Toc305158897"/>
    </w:p>
    <w:p>
      <w:pPr>
        <w:jc w:val="center"/>
        <w:rPr>
          <w:b/>
          <w:sz w:val="24"/>
        </w:rPr>
      </w:pPr>
      <w:r>
        <w:rPr>
          <w:b/>
          <w:sz w:val="24"/>
        </w:rPr>
        <w:t>符合性审查要求</w:t>
      </w:r>
    </w:p>
    <w:tbl>
      <w:tblPr>
        <w:tblStyle w:val="47"/>
        <w:tblW w:w="82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7"/>
        <w:gridCol w:w="1613"/>
        <w:gridCol w:w="4800"/>
        <w:gridCol w:w="11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caps/>
                <w:szCs w:val="21"/>
              </w:rPr>
            </w:pPr>
            <w:r>
              <w:rPr>
                <w:rFonts w:hint="eastAsia" w:ascii="宋体" w:hAnsi="宋体" w:cs="宋体"/>
                <w:caps/>
                <w:szCs w:val="21"/>
              </w:rPr>
              <w:t>序号</w:t>
            </w:r>
          </w:p>
        </w:tc>
        <w:tc>
          <w:tcPr>
            <w:tcW w:w="1613" w:type="dxa"/>
            <w:vAlign w:val="center"/>
          </w:tcPr>
          <w:p>
            <w:pPr>
              <w:tabs>
                <w:tab w:val="left" w:pos="1260"/>
                <w:tab w:val="left" w:pos="1620"/>
              </w:tabs>
              <w:adjustRightInd w:val="0"/>
              <w:snapToGrid w:val="0"/>
              <w:jc w:val="center"/>
              <w:textAlignment w:val="baseline"/>
              <w:rPr>
                <w:rFonts w:ascii="宋体" w:hAnsi="宋体" w:cs="宋体"/>
                <w:caps/>
                <w:szCs w:val="21"/>
              </w:rPr>
            </w:pPr>
            <w:r>
              <w:rPr>
                <w:rFonts w:hint="eastAsia" w:ascii="宋体" w:hAnsi="宋体" w:cs="宋体"/>
                <w:caps/>
                <w:szCs w:val="21"/>
              </w:rPr>
              <w:t>评审项目</w:t>
            </w:r>
          </w:p>
        </w:tc>
        <w:tc>
          <w:tcPr>
            <w:tcW w:w="4800" w:type="dxa"/>
            <w:vAlign w:val="center"/>
          </w:tcPr>
          <w:p>
            <w:pPr>
              <w:tabs>
                <w:tab w:val="left" w:pos="1260"/>
                <w:tab w:val="left" w:pos="1620"/>
              </w:tabs>
              <w:adjustRightInd w:val="0"/>
              <w:snapToGrid w:val="0"/>
              <w:jc w:val="center"/>
              <w:textAlignment w:val="baseline"/>
              <w:rPr>
                <w:rFonts w:ascii="宋体" w:hAnsi="宋体" w:cs="宋体"/>
                <w:caps/>
                <w:szCs w:val="21"/>
              </w:rPr>
            </w:pPr>
            <w:r>
              <w:rPr>
                <w:rFonts w:hint="eastAsia" w:ascii="宋体" w:hAnsi="宋体" w:cs="宋体"/>
                <w:caps/>
                <w:szCs w:val="21"/>
              </w:rPr>
              <w:t>评审标准</w:t>
            </w:r>
          </w:p>
        </w:tc>
        <w:tc>
          <w:tcPr>
            <w:tcW w:w="1180" w:type="dxa"/>
            <w:vAlign w:val="center"/>
          </w:tcPr>
          <w:p>
            <w:pPr>
              <w:tabs>
                <w:tab w:val="left" w:pos="1260"/>
                <w:tab w:val="left" w:pos="1620"/>
              </w:tabs>
              <w:adjustRightInd w:val="0"/>
              <w:snapToGrid w:val="0"/>
              <w:jc w:val="center"/>
              <w:textAlignment w:val="baseline"/>
              <w:rPr>
                <w:rFonts w:ascii="宋体" w:hAnsi="宋体" w:cs="宋体"/>
                <w:caps/>
                <w:szCs w:val="21"/>
              </w:rPr>
            </w:pPr>
            <w:r>
              <w:rPr>
                <w:rFonts w:hint="eastAsia" w:ascii="宋体" w:hAnsi="宋体" w:cs="宋体"/>
                <w:caps/>
                <w:szCs w:val="21"/>
              </w:rPr>
              <w:t>评审结论</w:t>
            </w:r>
          </w:p>
          <w:p>
            <w:pPr>
              <w:tabs>
                <w:tab w:val="left" w:pos="1260"/>
                <w:tab w:val="left" w:pos="1620"/>
              </w:tabs>
              <w:adjustRightInd w:val="0"/>
              <w:snapToGrid w:val="0"/>
              <w:jc w:val="center"/>
              <w:textAlignment w:val="baseline"/>
              <w:rPr>
                <w:rFonts w:ascii="宋体" w:hAnsi="宋体" w:cs="宋体"/>
                <w:caps/>
                <w:szCs w:val="21"/>
              </w:rPr>
            </w:pPr>
            <w:r>
              <w:rPr>
                <w:rFonts w:hint="eastAsia" w:ascii="宋体" w:hAnsi="宋体" w:cs="宋体"/>
                <w:caps/>
                <w:szCs w:val="21"/>
              </w:rPr>
              <w:t>（</w:t>
            </w:r>
            <w:r>
              <w:rPr>
                <w:rFonts w:hint="eastAsia" w:ascii="宋体" w:hAnsi="宋体" w:cs="宋体"/>
                <w:szCs w:val="21"/>
              </w:rPr>
              <w:t>√</w:t>
            </w:r>
            <w:r>
              <w:rPr>
                <w:rFonts w:hint="eastAsia" w:ascii="宋体" w:hAnsi="宋体" w:cs="宋体"/>
                <w:caps/>
                <w:szCs w:val="21"/>
              </w:rPr>
              <w:t>/</w:t>
            </w:r>
            <w:r>
              <w:rPr>
                <w:rFonts w:hint="eastAsia" w:ascii="宋体" w:hAnsi="宋体" w:cs="宋体"/>
                <w:szCs w:val="21"/>
              </w:rPr>
              <w:t>×</w:t>
            </w:r>
            <w:r>
              <w:rPr>
                <w:rFonts w:hint="eastAsia" w:ascii="宋体" w:hAnsi="宋体" w:cs="宋体"/>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1</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询价文件签署盖章</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按询价文件要求在规定位置加盖供应商公章和（/或）有法定代表人或其授权代表签字加盖人名章的；</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2</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报价</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报价是固定价且未超过最高限价；</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3</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附加条件</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询价响应文件不含有采购人不能接受的附加条件；</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4</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公平竞争</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遵循公平竞争的原则，没有弄虚作假、恶意串通或妨碍其他供应商的竞争行为，损害采购人或者其他供应商的合法权益；</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5</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报价修正</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报价出现前后不一致时，供应商按照询价文件评标办法要求确认修正后的报价；</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6</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其他无效情形</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法律、法规和询价文件规定的其他无效情形；</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1）</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有效期</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有效期满足询价文件要求的；</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2）</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响应文件格式</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响应文件按规定的格式填写，内容完整且关键字迹清晰；</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3）</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备选方案</w:t>
            </w:r>
          </w:p>
        </w:tc>
        <w:tc>
          <w:tcPr>
            <w:tcW w:w="4800" w:type="dxa"/>
            <w:vAlign w:val="center"/>
          </w:tcPr>
          <w:p>
            <w:pPr>
              <w:tabs>
                <w:tab w:val="left" w:pos="1260"/>
                <w:tab w:val="left" w:pos="1620"/>
              </w:tabs>
              <w:adjustRightInd w:val="0"/>
              <w:snapToGrid w:val="0"/>
              <w:textAlignment w:val="baseline"/>
              <w:rPr>
                <w:rFonts w:ascii="宋体" w:hAnsi="宋体" w:cs="宋体"/>
                <w:strike/>
                <w:szCs w:val="21"/>
              </w:rPr>
            </w:pPr>
            <w:r>
              <w:rPr>
                <w:rFonts w:hint="eastAsia" w:ascii="宋体" w:hAnsi="宋体" w:cs="宋体"/>
                <w:szCs w:val="21"/>
              </w:rPr>
              <w:t>供应商不得提交两份或者多份内容不同的询价响应文件，或者在同一份询价响应文件中对同一询价项目有两个或者多个报价；</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4）</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投标内容</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供应商提供的服务无实质性遗漏；</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5）</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交货期和交货地点</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满足询价文件要求；</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7" w:type="dxa"/>
            <w:vAlign w:val="center"/>
          </w:tcPr>
          <w:p>
            <w:pPr>
              <w:tabs>
                <w:tab w:val="left" w:pos="1260"/>
                <w:tab w:val="left" w:pos="1620"/>
              </w:tabs>
              <w:adjustRightInd w:val="0"/>
              <w:snapToGrid w:val="0"/>
              <w:jc w:val="center"/>
              <w:textAlignment w:val="baseline"/>
              <w:rPr>
                <w:rFonts w:ascii="宋体" w:hAnsi="宋体" w:cs="宋体"/>
                <w:szCs w:val="21"/>
              </w:rPr>
            </w:pPr>
            <w:r>
              <w:rPr>
                <w:rFonts w:hint="eastAsia" w:ascii="宋体" w:hAnsi="宋体" w:cs="宋体"/>
                <w:szCs w:val="21"/>
              </w:rPr>
              <w:t>6）</w:t>
            </w:r>
          </w:p>
        </w:tc>
        <w:tc>
          <w:tcPr>
            <w:tcW w:w="1613"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付款方式</w:t>
            </w:r>
          </w:p>
        </w:tc>
        <w:tc>
          <w:tcPr>
            <w:tcW w:w="4800" w:type="dxa"/>
            <w:vAlign w:val="center"/>
          </w:tcPr>
          <w:p>
            <w:pPr>
              <w:tabs>
                <w:tab w:val="left" w:pos="1260"/>
                <w:tab w:val="left" w:pos="1620"/>
              </w:tabs>
              <w:adjustRightInd w:val="0"/>
              <w:snapToGrid w:val="0"/>
              <w:textAlignment w:val="baseline"/>
              <w:rPr>
                <w:rFonts w:ascii="宋体" w:hAnsi="宋体" w:cs="宋体"/>
                <w:szCs w:val="21"/>
              </w:rPr>
            </w:pPr>
            <w:r>
              <w:rPr>
                <w:rFonts w:hint="eastAsia" w:ascii="宋体" w:hAnsi="宋体" w:cs="宋体"/>
                <w:szCs w:val="21"/>
              </w:rPr>
              <w:t>询价文件不允许偏差时，询价文件无负偏差。</w:t>
            </w:r>
          </w:p>
        </w:tc>
        <w:tc>
          <w:tcPr>
            <w:tcW w:w="1180" w:type="dxa"/>
            <w:vAlign w:val="center"/>
          </w:tcPr>
          <w:p>
            <w:pPr>
              <w:tabs>
                <w:tab w:val="left" w:pos="1260"/>
                <w:tab w:val="left" w:pos="1620"/>
              </w:tabs>
              <w:adjustRightInd w:val="0"/>
              <w:snapToGrid w:val="0"/>
              <w:textAlignment w:val="baseline"/>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10" w:type="dxa"/>
            <w:gridSpan w:val="2"/>
            <w:vAlign w:val="center"/>
          </w:tcPr>
          <w:p>
            <w:pPr>
              <w:tabs>
                <w:tab w:val="left" w:pos="1260"/>
                <w:tab w:val="left" w:pos="1620"/>
              </w:tabs>
              <w:adjustRightInd w:val="0"/>
              <w:snapToGrid w:val="0"/>
              <w:jc w:val="center"/>
              <w:textAlignment w:val="baseline"/>
              <w:rPr>
                <w:rFonts w:ascii="宋体" w:hAnsi="宋体" w:cs="宋体"/>
                <w:bCs/>
                <w:szCs w:val="21"/>
              </w:rPr>
            </w:pPr>
            <w:r>
              <w:rPr>
                <w:rFonts w:hint="eastAsia" w:ascii="宋体" w:hAnsi="宋体" w:cs="宋体"/>
                <w:bCs/>
                <w:szCs w:val="21"/>
              </w:rPr>
              <w:t>结论（合格或不合格）</w:t>
            </w:r>
          </w:p>
        </w:tc>
        <w:tc>
          <w:tcPr>
            <w:tcW w:w="4800" w:type="dxa"/>
            <w:vAlign w:val="center"/>
          </w:tcPr>
          <w:p>
            <w:pPr>
              <w:tabs>
                <w:tab w:val="left" w:pos="1260"/>
                <w:tab w:val="left" w:pos="1620"/>
              </w:tabs>
              <w:adjustRightInd w:val="0"/>
              <w:snapToGrid w:val="0"/>
              <w:textAlignment w:val="baseline"/>
              <w:rPr>
                <w:rFonts w:ascii="宋体" w:hAnsi="宋体" w:cs="宋体"/>
                <w:bCs/>
                <w:szCs w:val="21"/>
              </w:rPr>
            </w:pPr>
          </w:p>
        </w:tc>
        <w:tc>
          <w:tcPr>
            <w:tcW w:w="1180" w:type="dxa"/>
            <w:vAlign w:val="center"/>
          </w:tcPr>
          <w:p>
            <w:pPr>
              <w:tabs>
                <w:tab w:val="left" w:pos="1260"/>
                <w:tab w:val="left" w:pos="1620"/>
              </w:tabs>
              <w:adjustRightInd w:val="0"/>
              <w:snapToGrid w:val="0"/>
              <w:textAlignment w:val="baseline"/>
              <w:rPr>
                <w:rFonts w:ascii="宋体" w:hAnsi="宋体" w:cs="宋体"/>
                <w:bCs/>
                <w:szCs w:val="21"/>
              </w:rPr>
            </w:pPr>
          </w:p>
        </w:tc>
      </w:tr>
    </w:tbl>
    <w:p>
      <w:pPr>
        <w:pStyle w:val="77"/>
        <w:widowControl/>
        <w:ind w:left="900" w:firstLine="0" w:firstLineChars="0"/>
        <w:jc w:val="left"/>
        <w:rPr>
          <w:sz w:val="24"/>
        </w:rPr>
      </w:pPr>
    </w:p>
    <w:p>
      <w:pPr>
        <w:tabs>
          <w:tab w:val="left" w:pos="900"/>
          <w:tab w:val="left" w:pos="1080"/>
          <w:tab w:val="left" w:pos="1589"/>
        </w:tabs>
        <w:snapToGrid w:val="0"/>
        <w:spacing w:line="360" w:lineRule="auto"/>
        <w:ind w:left="900"/>
        <w:rPr>
          <w:rFonts w:eastAsiaTheme="minorEastAsia"/>
          <w:sz w:val="24"/>
        </w:rPr>
      </w:pPr>
    </w:p>
    <w:p>
      <w:pPr>
        <w:tabs>
          <w:tab w:val="left" w:pos="900"/>
          <w:tab w:val="left" w:pos="1080"/>
          <w:tab w:val="left" w:pos="1589"/>
        </w:tabs>
        <w:snapToGrid w:val="0"/>
        <w:spacing w:line="360" w:lineRule="auto"/>
        <w:ind w:left="900"/>
        <w:rPr>
          <w:rFonts w:eastAsiaTheme="minorEastAsia"/>
          <w:sz w:val="24"/>
        </w:rPr>
      </w:pPr>
    </w:p>
    <w:p>
      <w:pPr>
        <w:numPr>
          <w:ilvl w:val="0"/>
          <w:numId w:val="10"/>
        </w:numPr>
        <w:tabs>
          <w:tab w:val="left" w:pos="360"/>
        </w:tabs>
        <w:snapToGrid w:val="0"/>
        <w:spacing w:line="360" w:lineRule="auto"/>
        <w:outlineLvl w:val="1"/>
        <w:rPr>
          <w:rFonts w:eastAsiaTheme="minorEastAsia"/>
          <w:sz w:val="24"/>
        </w:rPr>
      </w:pPr>
      <w:r>
        <w:rPr>
          <w:rFonts w:eastAsiaTheme="minorEastAsia"/>
          <w:sz w:val="24"/>
        </w:rPr>
        <w:t>响应文件有关事项的澄清、说明或者更正</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询价小组在对响应文件的有效性、完整性和响应程度进行审查时，可以要求供应商对响应文件中含义不明确、同类问题表述不一致或者有明显文字和计算错误的内容等作出必要的澄清、说明或者更正。</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说明或者更正文件将作为响应文件内容的一部分。</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报价须包含询价通知书全部内容，如分项报价表有缺漏视为已含在其他各项报价中，将不对响应总价进行调整。询价小组有权要求供应商在评审现场合理的时间内对此进行书面确认，供应商不确认的，视为将一个采购包中的内容拆开响应，其</w:t>
      </w:r>
      <w:r>
        <w:rPr>
          <w:rFonts w:eastAsiaTheme="minorEastAsia"/>
          <w:b/>
          <w:sz w:val="24"/>
        </w:rPr>
        <w:t>响应无效</w:t>
      </w:r>
      <w:r>
        <w:rPr>
          <w:rFonts w:eastAsiaTheme="minorEastAsia"/>
          <w:sz w:val="24"/>
        </w:rPr>
        <w:t>。</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响应文件报价出现前后不一致的，按照下列规定修正：</w:t>
      </w:r>
    </w:p>
    <w:p>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询价通知书对于报价修正是否另有规定：</w:t>
      </w:r>
    </w:p>
    <w:p>
      <w:pPr>
        <w:tabs>
          <w:tab w:val="left" w:pos="1080"/>
          <w:tab w:val="left" w:pos="1589"/>
          <w:tab w:val="left" w:pos="2035"/>
          <w:tab w:val="left" w:pos="2114"/>
        </w:tabs>
        <w:snapToGrid w:val="0"/>
        <w:spacing w:line="360" w:lineRule="auto"/>
        <w:ind w:left="2035"/>
        <w:rPr>
          <w:rFonts w:eastAsiaTheme="minorEastAsia"/>
          <w:sz w:val="24"/>
          <w:u w:val="single"/>
        </w:rPr>
      </w:pPr>
      <w:r>
        <w:rPr>
          <w:rFonts w:ascii="Wingdings 2" w:hAnsi="Wingdings 2" w:eastAsiaTheme="minorEastAsia"/>
          <w:sz w:val="24"/>
        </w:rPr>
        <w:t>□</w:t>
      </w:r>
      <w:r>
        <w:rPr>
          <w:rFonts w:eastAsiaTheme="minorEastAsia"/>
          <w:sz w:val="24"/>
        </w:rPr>
        <w:t>有，具体规定为：____________________________</w:t>
      </w:r>
    </w:p>
    <w:p>
      <w:pPr>
        <w:tabs>
          <w:tab w:val="left" w:pos="1080"/>
          <w:tab w:val="left" w:pos="1589"/>
          <w:tab w:val="left" w:pos="2035"/>
          <w:tab w:val="left" w:pos="2114"/>
        </w:tabs>
        <w:snapToGrid w:val="0"/>
        <w:spacing w:line="360" w:lineRule="auto"/>
        <w:ind w:left="2035"/>
        <w:rPr>
          <w:rFonts w:eastAsiaTheme="minorEastAsia"/>
          <w:sz w:val="24"/>
          <w:highlight w:val="yellow"/>
        </w:rPr>
      </w:pPr>
      <w:r>
        <w:rPr>
          <w:rFonts w:ascii="Wingdings 2" w:hAnsi="Wingdings 2" w:eastAsiaTheme="minorEastAsia"/>
          <w:sz w:val="24"/>
        </w:rPr>
        <w:sym w:font="Wingdings 2" w:char="0052"/>
      </w:r>
      <w:r>
        <w:rPr>
          <w:rFonts w:eastAsiaTheme="minorEastAsia"/>
          <w:sz w:val="24"/>
        </w:rPr>
        <w:t>无，按下述2.4.2-2.4.6项规定修正。</w:t>
      </w:r>
    </w:p>
    <w:p>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响应文件中报价一览表内容与响应文件中相应内容不一致的，以报价一览表为准；</w:t>
      </w:r>
    </w:p>
    <w:p>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单价金额小数点或者百分比有明显错位的，以报价一览表的总价为准，并修改单价；</w:t>
      </w:r>
    </w:p>
    <w:p>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同时出现两种以上不一致的，按照前款规定的顺序修正。修正后的报价经供应商书面确认后产生约束力，供应商不确认的，其</w:t>
      </w:r>
      <w:r>
        <w:rPr>
          <w:rFonts w:eastAsiaTheme="minorEastAsia"/>
          <w:b/>
          <w:sz w:val="24"/>
        </w:rPr>
        <w:t>响应无效</w:t>
      </w:r>
      <w:r>
        <w:rPr>
          <w:rFonts w:eastAsiaTheme="minorEastAsia"/>
          <w:sz w:val="24"/>
        </w:rPr>
        <w:t>。</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落实政府采购政策的价格调整：只有符合第二章《供应商须知》3.2条规定情形的，可以享受中小企业扶持政策，用扣除后的价格参加评审；否则，评审时价格不予扣除。</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eastAsiaTheme="minorEastAsia"/>
          <w:sz w:val="24"/>
          <w:u w:val="single"/>
        </w:rPr>
        <w:t>10</w:t>
      </w:r>
      <w:r>
        <w:rPr>
          <w:rFonts w:eastAsiaTheme="minorEastAsia"/>
          <w:sz w:val="24"/>
        </w:rPr>
        <w:t>%的扣除，用扣除后的价格参加评审。</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eastAsiaTheme="minorEastAsia"/>
          <w:sz w:val="24"/>
          <w:u w:val="single"/>
        </w:rPr>
        <w:t xml:space="preserve"> \  </w:t>
      </w:r>
      <w:r>
        <w:rPr>
          <w:rFonts w:eastAsiaTheme="minorEastAsia"/>
          <w:sz w:val="24"/>
        </w:rPr>
        <w:t>%的扣除，用扣除后的价格参加评审。</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中小企业参加政府采购活动，应当按照询价通知书给定的格式出具《中小企业声明函》，否则不得享受相关中小企业扶持政策。</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残疾人福利性单位按询价通知书要求提供了《残疾人福利性单位声明函》（见附件）的，视同小微企业。</w:t>
      </w:r>
    </w:p>
    <w:p>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bookmarkEnd w:id="598"/>
      <w:bookmarkEnd w:id="599"/>
    </w:p>
    <w:p>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hint="eastAsia" w:eastAsiaTheme="minorEastAsia"/>
          <w:sz w:val="24"/>
        </w:rPr>
        <w:t>：</w:t>
      </w:r>
      <w:r>
        <w:rPr>
          <w:rFonts w:eastAsiaTheme="minorEastAsia"/>
          <w:sz w:val="24"/>
        </w:rPr>
        <w:t>________。</w:t>
      </w:r>
    </w:p>
    <w:p>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关于无线局域网认证产品政府采购清单中的产品，优先采购的具体规定（如涉及）</w:t>
      </w:r>
      <w:r>
        <w:rPr>
          <w:rFonts w:hint="eastAsia" w:eastAsiaTheme="minorEastAsia"/>
          <w:sz w:val="24"/>
        </w:rPr>
        <w:t>：</w:t>
      </w:r>
      <w:r>
        <w:rPr>
          <w:rFonts w:eastAsiaTheme="minorEastAsia"/>
          <w:sz w:val="24"/>
        </w:rPr>
        <w:t>___________。</w:t>
      </w:r>
    </w:p>
    <w:p>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其他为落实政府采购政策实施的优先采购（如涉及）：____________。</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询价小组在询价过程中，不得改变询价通知书所确定的技术和服务等要求、评审程序、评定成交的标准和合同文本等事项。</w:t>
      </w:r>
    </w:p>
    <w:p>
      <w:pPr>
        <w:numPr>
          <w:ilvl w:val="0"/>
          <w:numId w:val="10"/>
        </w:numPr>
        <w:tabs>
          <w:tab w:val="left" w:pos="360"/>
        </w:tabs>
        <w:snapToGrid w:val="0"/>
        <w:spacing w:line="360" w:lineRule="auto"/>
        <w:outlineLvl w:val="1"/>
        <w:rPr>
          <w:rFonts w:eastAsiaTheme="minorEastAsia"/>
          <w:sz w:val="24"/>
        </w:rPr>
      </w:pPr>
      <w:r>
        <w:rPr>
          <w:rFonts w:eastAsiaTheme="minorEastAsia"/>
          <w:sz w:val="24"/>
        </w:rPr>
        <w:t>评定成交的标准与确定</w:t>
      </w:r>
      <w:bookmarkStart w:id="614" w:name="_Toc150774751"/>
      <w:bookmarkStart w:id="615" w:name="_Toc151190173"/>
      <w:bookmarkStart w:id="616" w:name="_Toc226965736"/>
      <w:bookmarkStart w:id="617" w:name="_Toc151193716"/>
      <w:bookmarkStart w:id="618" w:name="_Toc226965819"/>
      <w:bookmarkStart w:id="619" w:name="_Toc164608815"/>
      <w:bookmarkStart w:id="620" w:name="_Toc164351640"/>
      <w:bookmarkStart w:id="621" w:name="_Toc305158888"/>
      <w:bookmarkStart w:id="622" w:name="_Toc150509297"/>
      <w:bookmarkStart w:id="623" w:name="_Toc264969236"/>
      <w:bookmarkStart w:id="624" w:name="_Toc226337242"/>
      <w:bookmarkStart w:id="625" w:name="_Toc151193788"/>
      <w:bookmarkStart w:id="626" w:name="_Toc151193644"/>
      <w:bookmarkStart w:id="627" w:name="_Toc164229241"/>
      <w:bookmarkStart w:id="628" w:name="_Toc127151546"/>
      <w:bookmarkStart w:id="629" w:name="_Toc164229387"/>
      <w:bookmarkStart w:id="630" w:name="_Toc151193860"/>
      <w:bookmarkStart w:id="631" w:name="_Toc150774646"/>
      <w:bookmarkStart w:id="632" w:name="_Toc265228384"/>
      <w:bookmarkStart w:id="633" w:name="_Toc127151747"/>
      <w:bookmarkStart w:id="634" w:name="_Toc142311048"/>
      <w:bookmarkStart w:id="635" w:name="_Toc520356170"/>
      <w:bookmarkStart w:id="636" w:name="_Toc195842911"/>
      <w:bookmarkStart w:id="637" w:name="_Ref467307010"/>
      <w:bookmarkStart w:id="638" w:name="_Toc305158814"/>
      <w:bookmarkStart w:id="639" w:name="_Toc226309790"/>
      <w:bookmarkStart w:id="640" w:name="_Toc164608660"/>
      <w:bookmarkStart w:id="641" w:name="_Toc150480784"/>
      <w:bookmarkStart w:id="642" w:name="_Toc151193934"/>
      <w:bookmarkStart w:id="643" w:name="_Toc127161460"/>
      <w:bookmarkStart w:id="644" w:name="_Toc149720839"/>
      <w:r>
        <w:rPr>
          <w:rFonts w:eastAsiaTheme="minorEastAsia"/>
          <w:sz w:val="24"/>
        </w:rPr>
        <w:t>成交候选人名单</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询价小组应当从质量和服务均能满足采购文件实质性响应要求的供应商中，按照报价（如有按本章节进行算术修正或政策调整的，以修正或调整后的最后报价计算）由低到高的顺序提出</w:t>
      </w:r>
      <w:r>
        <w:rPr>
          <w:rFonts w:hint="eastAsia" w:eastAsiaTheme="minorEastAsia"/>
          <w:sz w:val="24"/>
          <w:u w:val="single"/>
        </w:rPr>
        <w:t xml:space="preserve"> 3</w:t>
      </w:r>
      <w:r>
        <w:rPr>
          <w:rFonts w:eastAsiaTheme="minorEastAsia"/>
          <w:sz w:val="24"/>
          <w:u w:val="single"/>
        </w:rPr>
        <w:t xml:space="preserve"> </w:t>
      </w:r>
      <w:r>
        <w:rPr>
          <w:rFonts w:eastAsiaTheme="minorEastAsia"/>
          <w:sz w:val="24"/>
        </w:rPr>
        <w:t>名成交候选人，并编写评审报告。</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询价小组要对评审结果进行复核，特别是对排名第一的、响应文件被认定为无效的情形进行重点复核。</w:t>
      </w:r>
    </w:p>
    <w:p>
      <w:pPr>
        <w:numPr>
          <w:ilvl w:val="0"/>
          <w:numId w:val="10"/>
        </w:numPr>
        <w:tabs>
          <w:tab w:val="left" w:pos="360"/>
        </w:tabs>
        <w:snapToGrid w:val="0"/>
        <w:spacing w:line="360" w:lineRule="auto"/>
        <w:outlineLvl w:val="1"/>
        <w:rPr>
          <w:rFonts w:eastAsiaTheme="minorEastAsia"/>
          <w:sz w:val="24"/>
        </w:rPr>
      </w:pPr>
      <w:r>
        <w:rPr>
          <w:rFonts w:eastAsiaTheme="minorEastAsia"/>
          <w:sz w:val="24"/>
        </w:rPr>
        <w:t>报告违法行为</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询价小组在评审过程中发现供应商有行贿、提供虚假材料或者串通等违法行为时，有向采购人、采购代理机构或者有关部门报告的职责。</w:t>
      </w:r>
      <w:r>
        <w:rPr>
          <w:rFonts w:eastAsiaTheme="minorEastAsia"/>
          <w:sz w:val="24"/>
        </w:rPr>
        <w:br w:type="page"/>
      </w:r>
    </w:p>
    <w:p>
      <w:pPr>
        <w:spacing w:line="360" w:lineRule="auto"/>
        <w:jc w:val="center"/>
        <w:outlineLvl w:val="0"/>
        <w:rPr>
          <w:rFonts w:eastAsiaTheme="minorEastAsia"/>
          <w:b/>
          <w:sz w:val="36"/>
          <w:szCs w:val="36"/>
        </w:rPr>
      </w:pPr>
      <w:bookmarkStart w:id="645" w:name="_Toc99301348"/>
      <w:r>
        <w:rPr>
          <w:rFonts w:eastAsiaTheme="minorEastAsia"/>
          <w:b/>
          <w:sz w:val="36"/>
          <w:szCs w:val="36"/>
          <w:highlight w:val="none"/>
        </w:rPr>
        <w:t>第四章   采购需求</w:t>
      </w:r>
      <w:bookmarkEnd w:id="645"/>
    </w:p>
    <w:p>
      <w:pPr>
        <w:spacing w:line="360" w:lineRule="auto"/>
        <w:contextualSpacing/>
        <w:rPr>
          <w:rFonts w:eastAsiaTheme="minorEastAsia"/>
          <w:sz w:val="24"/>
        </w:rPr>
      </w:pPr>
    </w:p>
    <w:p>
      <w:pPr>
        <w:pStyle w:val="77"/>
        <w:numPr>
          <w:ilvl w:val="0"/>
          <w:numId w:val="11"/>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采购标的</w:t>
      </w:r>
    </w:p>
    <w:p>
      <w:pPr>
        <w:spacing w:line="360" w:lineRule="auto"/>
        <w:contextualSpacing/>
        <w:rPr>
          <w:rFonts w:eastAsiaTheme="minorEastAsia"/>
          <w:bCs/>
          <w:sz w:val="24"/>
        </w:rPr>
      </w:pPr>
      <w:r>
        <w:rPr>
          <w:rFonts w:eastAsiaTheme="minorEastAsia"/>
          <w:bCs/>
          <w:sz w:val="24"/>
        </w:rPr>
        <w:t>1. 采购标的（货物需求一览表或简要服务内容及数量）</w:t>
      </w:r>
    </w:p>
    <w:tbl>
      <w:tblPr>
        <w:tblStyle w:val="47"/>
        <w:tblpPr w:leftFromText="180" w:rightFromText="180" w:vertAnchor="text" w:horzAnchor="page" w:tblpXSpec="center" w:tblpY="477"/>
        <w:tblOverlap w:val="never"/>
        <w:tblW w:w="8472" w:type="dxa"/>
        <w:jc w:val="center"/>
        <w:tblLayout w:type="fixed"/>
        <w:tblCellMar>
          <w:top w:w="0" w:type="dxa"/>
          <w:left w:w="108" w:type="dxa"/>
          <w:bottom w:w="0" w:type="dxa"/>
          <w:right w:w="108" w:type="dxa"/>
        </w:tblCellMar>
      </w:tblPr>
      <w:tblGrid>
        <w:gridCol w:w="692"/>
        <w:gridCol w:w="1230"/>
        <w:gridCol w:w="1410"/>
        <w:gridCol w:w="5140"/>
      </w:tblGrid>
      <w:tr>
        <w:tblPrEx>
          <w:tblCellMar>
            <w:top w:w="0" w:type="dxa"/>
            <w:left w:w="108" w:type="dxa"/>
            <w:bottom w:w="0" w:type="dxa"/>
            <w:right w:w="108" w:type="dxa"/>
          </w:tblCellMar>
        </w:tblPrEx>
        <w:trPr>
          <w:trHeight w:val="79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val="en-US" w:eastAsia="zh-CN" w:bidi="ar"/>
              </w:rPr>
              <w:t>货物</w:t>
            </w:r>
            <w:r>
              <w:rPr>
                <w:rFonts w:hint="eastAsia" w:ascii="宋体" w:hAnsi="宋体" w:cs="宋体"/>
                <w:b/>
                <w:bCs/>
                <w:color w:val="000000"/>
                <w:kern w:val="0"/>
                <w:szCs w:val="21"/>
                <w:lang w:bidi="ar"/>
              </w:rPr>
              <w:t>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技术参数</w:t>
            </w:r>
          </w:p>
        </w:tc>
      </w:tr>
      <w:tr>
        <w:tblPrEx>
          <w:tblCellMar>
            <w:top w:w="0" w:type="dxa"/>
            <w:left w:w="108" w:type="dxa"/>
            <w:bottom w:w="0" w:type="dxa"/>
            <w:right w:w="108" w:type="dxa"/>
          </w:tblCellMar>
        </w:tblPrEx>
        <w:trPr>
          <w:trHeight w:val="2375"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屏蔽线</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11450</w:t>
            </w:r>
            <w:r>
              <w:rPr>
                <w:rFonts w:hint="eastAsia" w:asciiTheme="minorEastAsia" w:hAnsiTheme="minorEastAsia" w:eastAsiaTheme="minorEastAsia" w:cstheme="minorEastAsia"/>
                <w:color w:val="000000"/>
                <w:kern w:val="0"/>
                <w:sz w:val="24"/>
                <w:szCs w:val="24"/>
                <w:lang w:bidi="ar"/>
              </w:rPr>
              <w:t>米</w:t>
            </w:r>
          </w:p>
        </w:tc>
        <w:tc>
          <w:tcPr>
            <w:tcW w:w="5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①19/0.16PL</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9，绞合铜丝数量/0.16，单根铜丝直径; </w:t>
            </w:r>
            <w:r>
              <w:rPr>
                <w:rFonts w:hint="eastAsia" w:asciiTheme="minorEastAsia" w:hAnsiTheme="minorEastAsia" w:eastAsiaTheme="minorEastAsia" w:cstheme="minorEastAsia"/>
                <w:sz w:val="24"/>
                <w:szCs w:val="24"/>
                <w:lang w:eastAsia="zh-CN"/>
              </w:rPr>
              <w:t>P屏蔽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L抗拉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②物探专用线非GB;</w:t>
            </w:r>
          </w:p>
          <w:p>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③内导体0.4平方，屏蔽层编织密度85%以上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PU护套破断力大于4KN。</w:t>
            </w:r>
          </w:p>
        </w:tc>
      </w:tr>
    </w:tbl>
    <w:p>
      <w:pPr>
        <w:spacing w:line="360" w:lineRule="auto"/>
        <w:contextualSpacing/>
        <w:rPr>
          <w:rFonts w:eastAsiaTheme="minorEastAsia"/>
          <w:bCs/>
          <w:sz w:val="24"/>
        </w:rPr>
      </w:pPr>
    </w:p>
    <w:p>
      <w:pPr>
        <w:spacing w:line="360" w:lineRule="auto"/>
        <w:contextualSpacing/>
        <w:jc w:val="left"/>
        <w:rPr>
          <w:rFonts w:hint="eastAsia" w:eastAsiaTheme="minorEastAsia"/>
          <w:bCs/>
          <w:sz w:val="24"/>
          <w:lang w:val="en-US" w:eastAsia="zh-CN"/>
        </w:rPr>
      </w:pPr>
      <w:r>
        <w:rPr>
          <w:rFonts w:eastAsiaTheme="minorEastAsia"/>
          <w:bCs/>
          <w:sz w:val="24"/>
        </w:rPr>
        <w:t>说明：</w:t>
      </w:r>
      <w:r>
        <w:rPr>
          <w:rFonts w:hint="eastAsia" w:eastAsiaTheme="minorEastAsia"/>
          <w:bCs/>
          <w:sz w:val="24"/>
          <w:lang w:val="en-US" w:eastAsia="zh-CN"/>
        </w:rPr>
        <w:t>无</w:t>
      </w:r>
    </w:p>
    <w:p>
      <w:pPr>
        <w:pStyle w:val="77"/>
        <w:numPr>
          <w:ilvl w:val="0"/>
          <w:numId w:val="11"/>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商务要求</w:t>
      </w:r>
    </w:p>
    <w:p>
      <w:pPr>
        <w:spacing w:line="360" w:lineRule="auto"/>
        <w:contextualSpacing/>
        <w:rPr>
          <w:rFonts w:eastAsiaTheme="minorEastAsia"/>
          <w:i/>
          <w:sz w:val="24"/>
        </w:rPr>
      </w:pPr>
      <w:r>
        <w:rPr>
          <w:rFonts w:eastAsiaTheme="minorEastAsia"/>
          <w:sz w:val="24"/>
        </w:rPr>
        <w:t>1. 交付（实施）的时间（期限）和地点（范围）</w:t>
      </w:r>
    </w:p>
    <w:p>
      <w:pPr>
        <w:spacing w:line="600" w:lineRule="exact"/>
        <w:ind w:firstLine="480" w:firstLineChars="200"/>
        <w:jc w:val="left"/>
        <w:rPr>
          <w:rFonts w:eastAsiaTheme="minorEastAsia"/>
          <w:sz w:val="24"/>
        </w:rPr>
      </w:pPr>
      <w:r>
        <w:rPr>
          <w:rFonts w:hint="eastAsia" w:eastAsiaTheme="minorEastAsia"/>
          <w:sz w:val="24"/>
        </w:rPr>
        <w:t>交付时间：合同签订后15天内；</w:t>
      </w:r>
    </w:p>
    <w:p>
      <w:pPr>
        <w:pStyle w:val="2"/>
        <w:spacing w:after="0" w:line="600" w:lineRule="exact"/>
        <w:ind w:firstLine="240"/>
        <w:rPr>
          <w:rFonts w:cs="Times New Roman" w:eastAsiaTheme="minorEastAsia"/>
        </w:rPr>
      </w:pPr>
      <w:r>
        <w:rPr>
          <w:rFonts w:hint="eastAsia" w:cs="Times New Roman" w:eastAsiaTheme="minorEastAsia"/>
        </w:rPr>
        <w:t xml:space="preserve">  交付地点</w:t>
      </w:r>
      <w:r>
        <w:rPr>
          <w:rFonts w:hint="eastAsia" w:cs="Times New Roman" w:eastAsiaTheme="minorEastAsia"/>
          <w:color w:val="auto"/>
          <w:highlight w:val="none"/>
        </w:rPr>
        <w:t>：河北省廊坊市广阳区丰盛路159号</w:t>
      </w:r>
      <w:r>
        <w:rPr>
          <w:rFonts w:hint="eastAsia" w:cs="Times New Roman" w:eastAsiaTheme="minorEastAsia"/>
        </w:rPr>
        <w:t>。</w:t>
      </w:r>
    </w:p>
    <w:p>
      <w:pPr>
        <w:spacing w:line="360" w:lineRule="auto"/>
        <w:contextualSpacing/>
        <w:rPr>
          <w:rFonts w:eastAsiaTheme="minorEastAsia"/>
          <w:i/>
          <w:sz w:val="24"/>
        </w:rPr>
      </w:pPr>
    </w:p>
    <w:p>
      <w:pPr>
        <w:spacing w:line="360" w:lineRule="auto"/>
        <w:contextualSpacing/>
        <w:rPr>
          <w:rFonts w:eastAsiaTheme="minorEastAsia"/>
          <w:sz w:val="24"/>
        </w:rPr>
      </w:pPr>
      <w:r>
        <w:rPr>
          <w:rFonts w:eastAsiaTheme="minorEastAsia"/>
          <w:sz w:val="24"/>
        </w:rPr>
        <w:t>2. 付款条件（进度和方式）</w:t>
      </w:r>
    </w:p>
    <w:p>
      <w:pPr>
        <w:pStyle w:val="2"/>
        <w:spacing w:after="0" w:line="600" w:lineRule="exact"/>
        <w:ind w:firstLine="480" w:firstLineChars="200"/>
        <w:rPr>
          <w:rFonts w:cs="Times New Roman" w:eastAsiaTheme="minorEastAsia"/>
        </w:rPr>
      </w:pPr>
      <w:r>
        <w:rPr>
          <w:rFonts w:hint="eastAsia" w:cs="Times New Roman" w:eastAsiaTheme="minorEastAsia"/>
        </w:rPr>
        <w:t>验收合格出具验收单后，甲方在15个工作日内向乙方支付所有货款。</w:t>
      </w:r>
    </w:p>
    <w:p>
      <w:pPr>
        <w:spacing w:line="360" w:lineRule="auto"/>
        <w:contextualSpacing/>
        <w:rPr>
          <w:rFonts w:eastAsiaTheme="minorEastAsia"/>
          <w:bCs/>
          <w:sz w:val="24"/>
        </w:rPr>
      </w:pPr>
    </w:p>
    <w:p>
      <w:pPr>
        <w:spacing w:line="360" w:lineRule="auto"/>
        <w:contextualSpacing/>
        <w:rPr>
          <w:rFonts w:eastAsiaTheme="minorEastAsia"/>
          <w:sz w:val="24"/>
        </w:rPr>
      </w:pPr>
      <w:r>
        <w:rPr>
          <w:rFonts w:eastAsiaTheme="minorEastAsia"/>
          <w:sz w:val="24"/>
        </w:rPr>
        <w:t>3. 包装和运输（如适用，须满足《关于印发&lt;商品包装政府采购需求标准（试行）&gt;、&lt;快递包装政府采购需求标准（试行）&gt;的通知》（财办库﹝2020﹞123号））</w:t>
      </w:r>
    </w:p>
    <w:p>
      <w:pPr>
        <w:spacing w:line="360" w:lineRule="auto"/>
        <w:contextualSpacing/>
        <w:rPr>
          <w:rFonts w:eastAsiaTheme="minorEastAsia"/>
          <w:sz w:val="24"/>
        </w:rPr>
      </w:pPr>
    </w:p>
    <w:p>
      <w:pPr>
        <w:spacing w:line="360" w:lineRule="auto"/>
        <w:contextualSpacing/>
        <w:rPr>
          <w:rFonts w:eastAsiaTheme="minorEastAsia"/>
          <w:sz w:val="24"/>
        </w:rPr>
      </w:pPr>
      <w:r>
        <w:rPr>
          <w:rFonts w:eastAsiaTheme="minorEastAsia"/>
          <w:sz w:val="24"/>
        </w:rPr>
        <w:t>4. 售后服务（质保期）（如适用）</w:t>
      </w:r>
    </w:p>
    <w:p>
      <w:pPr>
        <w:numPr>
          <w:ilvl w:val="0"/>
          <w:numId w:val="12"/>
        </w:numPr>
        <w:tabs>
          <w:tab w:val="left" w:pos="966"/>
        </w:tabs>
        <w:spacing w:line="600" w:lineRule="exact"/>
        <w:ind w:left="0" w:firstLine="480" w:firstLineChars="200"/>
        <w:contextualSpacing/>
        <w:rPr>
          <w:rFonts w:eastAsiaTheme="minorEastAsia"/>
          <w:sz w:val="24"/>
        </w:rPr>
      </w:pPr>
      <w:r>
        <w:rPr>
          <w:rFonts w:hint="eastAsia" w:eastAsiaTheme="minorEastAsia"/>
          <w:sz w:val="24"/>
        </w:rPr>
        <w:t>乙方所供设备系全新、未曾用过，并完全符合本合同规定的质量、规格和性能。</w:t>
      </w:r>
    </w:p>
    <w:p>
      <w:pPr>
        <w:numPr>
          <w:ilvl w:val="0"/>
          <w:numId w:val="12"/>
        </w:numPr>
        <w:tabs>
          <w:tab w:val="left" w:pos="966"/>
          <w:tab w:val="left" w:pos="4803"/>
        </w:tabs>
        <w:spacing w:line="600" w:lineRule="exact"/>
        <w:ind w:left="0" w:firstLine="480" w:firstLineChars="200"/>
        <w:contextualSpacing/>
        <w:rPr>
          <w:rFonts w:eastAsiaTheme="minorEastAsia"/>
          <w:sz w:val="24"/>
        </w:rPr>
      </w:pPr>
      <w:r>
        <w:rPr>
          <w:rFonts w:hint="eastAsia" w:eastAsiaTheme="minorEastAsia"/>
          <w:sz w:val="24"/>
        </w:rPr>
        <w:t>乙方同意自设备终验合格之日起1年为质量保证期。</w:t>
      </w:r>
    </w:p>
    <w:p>
      <w:pPr>
        <w:numPr>
          <w:ilvl w:val="0"/>
          <w:numId w:val="12"/>
        </w:numPr>
        <w:tabs>
          <w:tab w:val="left" w:pos="966"/>
        </w:tabs>
        <w:spacing w:line="600" w:lineRule="exact"/>
        <w:ind w:left="0" w:firstLine="480" w:firstLineChars="200"/>
        <w:contextualSpacing/>
        <w:rPr>
          <w:rFonts w:eastAsiaTheme="minorEastAsia"/>
          <w:sz w:val="24"/>
        </w:rPr>
      </w:pPr>
      <w:r>
        <w:rPr>
          <w:rFonts w:hint="eastAsia" w:eastAsiaTheme="minorEastAsia"/>
          <w:sz w:val="24"/>
        </w:rPr>
        <w:t>如果设备的质量与合同不符或无法正常使用的，甲方应于问题发现后的一个月内以书面形式向乙方提出，乙方收到甲方发出的书面通知后七日内未予答复的，甲方有权采取下述任一方式解决：</w:t>
      </w:r>
    </w:p>
    <w:p>
      <w:pPr>
        <w:tabs>
          <w:tab w:val="left" w:pos="1628"/>
        </w:tabs>
        <w:spacing w:line="600" w:lineRule="exact"/>
        <w:ind w:left="420" w:leftChars="200" w:firstLine="480" w:firstLineChars="200"/>
        <w:contextualSpacing/>
        <w:rPr>
          <w:rFonts w:eastAsiaTheme="minorEastAsia"/>
          <w:sz w:val="24"/>
        </w:rPr>
      </w:pPr>
      <w:r>
        <w:rPr>
          <w:rFonts w:hint="eastAsia" w:eastAsiaTheme="minorEastAsia"/>
          <w:sz w:val="24"/>
        </w:rPr>
        <w:t>（1）甲方要求退货的：乙方应按合同规定将货款退还给甲方，并承担由此发生的一切损失、连带责任和费用，包括但不限于利息、银行手续费、运费、保险费、检验费、仓储费、装卸费以及为保护退回设备所需的其它必要费用。</w:t>
      </w:r>
    </w:p>
    <w:p>
      <w:pPr>
        <w:tabs>
          <w:tab w:val="left" w:pos="1628"/>
        </w:tabs>
        <w:spacing w:line="600" w:lineRule="exact"/>
        <w:ind w:left="420" w:leftChars="200" w:firstLine="480" w:firstLineChars="200"/>
        <w:contextualSpacing/>
        <w:rPr>
          <w:rFonts w:eastAsiaTheme="minorEastAsia"/>
          <w:sz w:val="24"/>
        </w:rPr>
      </w:pPr>
      <w:r>
        <w:rPr>
          <w:rFonts w:hint="eastAsia" w:eastAsiaTheme="minorEastAsia"/>
          <w:sz w:val="24"/>
        </w:rPr>
        <w:t>（2）甲方要求更换的：乙方须在收到通知后（15）天内免费更换有缺陷的设备或部件，承担甲方因此所发生的一切直接费用。设备的质量保证期相应顺延。</w:t>
      </w:r>
    </w:p>
    <w:p>
      <w:pPr>
        <w:tabs>
          <w:tab w:val="left" w:pos="1628"/>
        </w:tabs>
        <w:spacing w:line="600" w:lineRule="exact"/>
        <w:ind w:left="420" w:leftChars="200" w:firstLine="480" w:firstLineChars="200"/>
        <w:contextualSpacing/>
        <w:rPr>
          <w:rFonts w:eastAsiaTheme="minorEastAsia"/>
          <w:sz w:val="24"/>
        </w:rPr>
      </w:pPr>
      <w:r>
        <w:rPr>
          <w:rFonts w:hint="eastAsia" w:eastAsiaTheme="minorEastAsia"/>
          <w:sz w:val="24"/>
        </w:rPr>
        <w:t>（3）甲方要求维修的：乙方在收到通知后一周内为甲方解决问题。维修3次仍不能符合质量要求的，甲方可选择前述（1）、（2）方式解决。</w:t>
      </w:r>
    </w:p>
    <w:p>
      <w:pPr>
        <w:tabs>
          <w:tab w:val="left" w:pos="1628"/>
        </w:tabs>
        <w:spacing w:line="600" w:lineRule="exact"/>
        <w:ind w:left="420" w:leftChars="200" w:firstLine="480" w:firstLineChars="200"/>
        <w:contextualSpacing/>
        <w:rPr>
          <w:rFonts w:eastAsiaTheme="minorEastAsia"/>
          <w:sz w:val="24"/>
        </w:rPr>
      </w:pPr>
      <w:r>
        <w:rPr>
          <w:rFonts w:hint="eastAsia" w:eastAsiaTheme="minorEastAsia"/>
          <w:sz w:val="24"/>
        </w:rPr>
        <w:t>（4）根据设备低劣程度、损坏程度以及甲方所遭受损失的数额，经买卖双方商定降低设备的价格，或由有资质的机构进行评估，以降低后的价格或评估价格结算。</w:t>
      </w:r>
    </w:p>
    <w:p>
      <w:pPr>
        <w:tabs>
          <w:tab w:val="left" w:pos="1628"/>
        </w:tabs>
        <w:spacing w:line="600" w:lineRule="exact"/>
        <w:ind w:left="420" w:leftChars="200" w:firstLine="480" w:firstLineChars="200"/>
        <w:contextualSpacing/>
        <w:rPr>
          <w:rFonts w:eastAsiaTheme="minorEastAsia"/>
          <w:sz w:val="24"/>
        </w:rPr>
      </w:pPr>
      <w:r>
        <w:rPr>
          <w:rFonts w:hint="eastAsia" w:eastAsiaTheme="minorEastAsia"/>
          <w:sz w:val="24"/>
        </w:rPr>
        <w:t>（5）乙方在甲方发出质量异议通知后（30）天内，未作答复，甲方在通知书中所提出的要求应视为已被乙方接受。如乙方未能在甲方通知书要求的期限内按照甲方提出的方法解决甲方的问题，甲方将从合同款或乙方提交的履约保函或质量保证金中扣款。不足部分，甲方有权要求乙方赔偿。</w:t>
      </w:r>
    </w:p>
    <w:p>
      <w:pPr>
        <w:spacing w:line="600" w:lineRule="exact"/>
        <w:ind w:left="319" w:leftChars="152" w:firstLine="480" w:firstLineChars="200"/>
        <w:contextualSpacing/>
        <w:rPr>
          <w:rFonts w:eastAsiaTheme="minorEastAsia"/>
          <w:sz w:val="24"/>
        </w:rPr>
      </w:pPr>
      <w:r>
        <w:rPr>
          <w:rFonts w:hint="eastAsia" w:eastAsiaTheme="minorEastAsia"/>
          <w:sz w:val="24"/>
        </w:rPr>
        <w:t>甲方有权部分或全部解除合同并要求乙方赔偿由此造成的损失及甲方因此产生的对第三方的责任。此时甲方可采取必要的补救措施，相关费用由乙方承担。</w:t>
      </w:r>
    </w:p>
    <w:p>
      <w:pPr>
        <w:tabs>
          <w:tab w:val="left" w:pos="966"/>
        </w:tabs>
        <w:spacing w:line="600" w:lineRule="exact"/>
        <w:ind w:left="420" w:leftChars="200" w:firstLine="480" w:firstLineChars="200"/>
        <w:contextualSpacing/>
        <w:rPr>
          <w:rFonts w:eastAsiaTheme="minorEastAsia"/>
          <w:sz w:val="24"/>
        </w:rPr>
      </w:pPr>
      <w:r>
        <w:rPr>
          <w:rFonts w:hint="eastAsia" w:eastAsiaTheme="minorEastAsia"/>
          <w:sz w:val="24"/>
        </w:rPr>
        <w:t>（6）如乙方收到甲方的质量异议通知书后，对甲方的质量异议不予认同的。应向甲方提交质量监督检验机构出具的能证明设备合格的检验报告。设备经检验无质量问题的，检验费用由甲方承担；否则，由乙方承担。</w:t>
      </w:r>
    </w:p>
    <w:p>
      <w:pPr>
        <w:tabs>
          <w:tab w:val="left" w:pos="964"/>
        </w:tabs>
        <w:spacing w:line="600" w:lineRule="exact"/>
        <w:ind w:left="420" w:leftChars="200" w:firstLine="480" w:firstLineChars="200"/>
        <w:contextualSpacing/>
        <w:rPr>
          <w:rFonts w:eastAsiaTheme="minorEastAsia"/>
          <w:sz w:val="24"/>
        </w:rPr>
      </w:pPr>
      <w:r>
        <w:rPr>
          <w:rFonts w:hint="eastAsia" w:eastAsiaTheme="minorEastAsia"/>
          <w:sz w:val="24"/>
        </w:rPr>
        <w:t>（7）由于乙方技术人员技术指导的错误或技术规格书的错误而导致设备/仪器的损坏，乙方应负责已损坏设备的维修更换，并承担因此而发生的一切费用。</w:t>
      </w:r>
    </w:p>
    <w:p>
      <w:pPr>
        <w:tabs>
          <w:tab w:val="left" w:pos="966"/>
        </w:tabs>
        <w:spacing w:line="600" w:lineRule="exact"/>
        <w:ind w:left="420" w:leftChars="200" w:firstLine="480" w:firstLineChars="200"/>
        <w:contextualSpacing/>
        <w:rPr>
          <w:rFonts w:eastAsiaTheme="minorEastAsia"/>
          <w:sz w:val="24"/>
        </w:rPr>
      </w:pPr>
      <w:r>
        <w:rPr>
          <w:rFonts w:hint="eastAsia" w:eastAsiaTheme="minorEastAsia"/>
          <w:sz w:val="24"/>
        </w:rPr>
        <w:t>（8）由于甲方工作人员操作不当、操作失误而导致设备损坏的，相关责任应由甲方自行承担，乙方对此不承担任何责任。</w:t>
      </w:r>
    </w:p>
    <w:p>
      <w:pPr>
        <w:tabs>
          <w:tab w:val="left" w:pos="966"/>
        </w:tabs>
        <w:spacing w:line="600" w:lineRule="exact"/>
        <w:ind w:left="420" w:leftChars="200" w:firstLine="480" w:firstLineChars="200"/>
        <w:contextualSpacing/>
        <w:rPr>
          <w:rFonts w:eastAsiaTheme="minorEastAsia"/>
          <w:sz w:val="24"/>
        </w:rPr>
      </w:pPr>
      <w:r>
        <w:rPr>
          <w:rFonts w:hint="eastAsia" w:eastAsiaTheme="minorEastAsia"/>
          <w:sz w:val="24"/>
        </w:rPr>
        <w:t>（9）乙方按照投标文件响应的内容提供完整的售后服务计划及措施，并纳入合同附件（见附件 2）。乙方应在接到用户维修请求后，带足维修配件赶到现场进行维修，应在 24小时之内对维修信息做出响应；48小时内排除故障。</w:t>
      </w:r>
    </w:p>
    <w:p>
      <w:pPr>
        <w:spacing w:line="360" w:lineRule="auto"/>
        <w:contextualSpacing/>
        <w:rPr>
          <w:rFonts w:eastAsiaTheme="minorEastAsia"/>
          <w:sz w:val="24"/>
        </w:rPr>
      </w:pPr>
    </w:p>
    <w:p>
      <w:pPr>
        <w:spacing w:line="360" w:lineRule="auto"/>
        <w:contextualSpacing/>
        <w:rPr>
          <w:rFonts w:eastAsiaTheme="minorEastAsia"/>
          <w:sz w:val="24"/>
        </w:rPr>
      </w:pPr>
      <w:r>
        <w:rPr>
          <w:rFonts w:eastAsiaTheme="minorEastAsia"/>
          <w:sz w:val="24"/>
        </w:rPr>
        <w:t>5. 保险（如适用）</w:t>
      </w:r>
    </w:p>
    <w:p>
      <w:pPr>
        <w:spacing w:line="360" w:lineRule="auto"/>
        <w:contextualSpacing/>
        <w:rPr>
          <w:rFonts w:eastAsiaTheme="minorEastAsia"/>
          <w:b/>
          <w:i/>
          <w:sz w:val="24"/>
        </w:rPr>
      </w:pPr>
    </w:p>
    <w:p>
      <w:pPr>
        <w:spacing w:line="360" w:lineRule="auto"/>
        <w:contextualSpacing/>
        <w:rPr>
          <w:rFonts w:eastAsiaTheme="minorEastAsia"/>
          <w:b/>
          <w:i/>
          <w:sz w:val="24"/>
        </w:rPr>
      </w:pPr>
    </w:p>
    <w:p>
      <w:pPr>
        <w:pStyle w:val="77"/>
        <w:numPr>
          <w:ilvl w:val="0"/>
          <w:numId w:val="11"/>
        </w:numPr>
        <w:spacing w:line="360" w:lineRule="auto"/>
        <w:ind w:firstLineChars="0"/>
        <w:contextualSpacing/>
        <w:rPr>
          <w:rFonts w:eastAsiaTheme="minorEastAsia"/>
          <w:b/>
        </w:rPr>
      </w:pPr>
      <w:r>
        <w:rPr>
          <w:rFonts w:ascii="Times New Roman" w:hAnsi="Times New Roman" w:eastAsiaTheme="minorEastAsia"/>
          <w:b/>
          <w:sz w:val="24"/>
          <w:szCs w:val="24"/>
        </w:rPr>
        <w:t>技术要求</w:t>
      </w:r>
    </w:p>
    <w:p>
      <w:pPr>
        <w:pStyle w:val="77"/>
        <w:spacing w:line="360" w:lineRule="auto"/>
        <w:ind w:firstLine="0" w:firstLineChars="0"/>
        <w:contextualSpacing/>
        <w:rPr>
          <w:rFonts w:eastAsiaTheme="minorEastAsia"/>
          <w:b/>
        </w:rPr>
      </w:pPr>
      <w:r>
        <w:rPr>
          <w:rFonts w:hint="eastAsia" w:ascii="Times New Roman" w:hAnsi="Times New Roman" w:eastAsiaTheme="minorEastAsia"/>
          <w:b/>
          <w:sz w:val="24"/>
          <w:szCs w:val="24"/>
        </w:rPr>
        <w:t xml:space="preserve">   见采购需求表</w:t>
      </w:r>
    </w:p>
    <w:p>
      <w:pPr>
        <w:autoSpaceDE w:val="0"/>
        <w:autoSpaceDN w:val="0"/>
        <w:rPr>
          <w:rFonts w:eastAsiaTheme="minorEastAsia"/>
          <w:bCs/>
        </w:rPr>
      </w:pPr>
    </w:p>
    <w:p>
      <w:pPr>
        <w:rPr>
          <w:rFonts w:eastAsiaTheme="minorEastAsia"/>
        </w:rPr>
      </w:pPr>
    </w:p>
    <w:p>
      <w:pPr>
        <w:widowControl/>
        <w:jc w:val="left"/>
        <w:rPr>
          <w:rFonts w:eastAsiaTheme="minorEastAsia"/>
          <w:b/>
          <w:sz w:val="36"/>
          <w:szCs w:val="36"/>
        </w:rPr>
      </w:pPr>
      <w:r>
        <w:rPr>
          <w:rFonts w:eastAsiaTheme="minorEastAsia"/>
          <w:b/>
          <w:sz w:val="36"/>
          <w:szCs w:val="36"/>
        </w:rPr>
        <w:br w:type="page"/>
      </w:r>
    </w:p>
    <w:p>
      <w:pPr>
        <w:spacing w:line="360" w:lineRule="auto"/>
        <w:jc w:val="center"/>
        <w:outlineLvl w:val="0"/>
        <w:rPr>
          <w:rFonts w:eastAsiaTheme="minorEastAsia"/>
          <w:b/>
          <w:sz w:val="36"/>
          <w:szCs w:val="36"/>
        </w:rPr>
      </w:pPr>
      <w:bookmarkStart w:id="646" w:name="_Toc99301349"/>
      <w:r>
        <w:rPr>
          <w:rFonts w:eastAsiaTheme="minorEastAsia"/>
          <w:b/>
          <w:sz w:val="36"/>
          <w:szCs w:val="36"/>
        </w:rPr>
        <w:t xml:space="preserve">第五章   </w:t>
      </w:r>
      <w:r>
        <w:rPr>
          <w:rFonts w:hint="eastAsia" w:eastAsiaTheme="minorEastAsia"/>
          <w:b/>
          <w:sz w:val="36"/>
          <w:szCs w:val="36"/>
        </w:rPr>
        <w:t>拟签订</w:t>
      </w:r>
      <w:r>
        <w:rPr>
          <w:rFonts w:eastAsiaTheme="minorEastAsia"/>
          <w:b/>
          <w:sz w:val="36"/>
          <w:szCs w:val="36"/>
        </w:rPr>
        <w:t>的合同文本</w:t>
      </w:r>
      <w:bookmarkEnd w:id="646"/>
    </w:p>
    <w:p>
      <w:pPr>
        <w:spacing w:before="50" w:line="600" w:lineRule="exact"/>
        <w:ind w:left="6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采购合同</w:t>
      </w:r>
    </w:p>
    <w:p>
      <w:pPr>
        <w:spacing w:line="600" w:lineRule="exact"/>
        <w:rPr>
          <w:rFonts w:ascii="仿宋_GB2312" w:hAnsi="仿宋_GB2312" w:eastAsia="仿宋_GB2312" w:cs="仿宋_GB2312"/>
          <w:b/>
          <w:kern w:val="0"/>
          <w:sz w:val="32"/>
          <w:szCs w:val="32"/>
        </w:rPr>
      </w:pP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合同编号：</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本合同由下述各方在河北省廊坊市签署：</w:t>
      </w:r>
    </w:p>
    <w:p>
      <w:pPr>
        <w:spacing w:line="600" w:lineRule="exact"/>
        <w:ind w:firstLine="643" w:firstLineChars="200"/>
        <w:contextualSpacing/>
        <w:rPr>
          <w:rFonts w:ascii="仿宋_GB2312" w:hAnsi="仿宋_GB2312" w:eastAsia="仿宋_GB2312" w:cs="仿宋_GB2312"/>
          <w:b/>
          <w:snapToGrid w:val="0"/>
          <w:kern w:val="0"/>
          <w:sz w:val="32"/>
          <w:szCs w:val="32"/>
        </w:rPr>
      </w:pPr>
    </w:p>
    <w:p>
      <w:pPr>
        <w:spacing w:line="600" w:lineRule="exact"/>
        <w:ind w:firstLine="643"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采 购 方：（以下简称“甲方”）</w:t>
      </w:r>
      <w:r>
        <w:rPr>
          <w:rFonts w:hint="eastAsia" w:ascii="仿宋_GB2312" w:hAnsi="仿宋_GB2312" w:eastAsia="仿宋_GB2312" w:cs="仿宋_GB2312"/>
          <w:snapToGrid w:val="0"/>
          <w:kern w:val="0"/>
          <w:sz w:val="32"/>
          <w:szCs w:val="32"/>
        </w:rPr>
        <w:t>地址：</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邮政编码： 电话：</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传真： 联系人:</w:t>
      </w:r>
    </w:p>
    <w:p>
      <w:pPr>
        <w:spacing w:line="600" w:lineRule="exact"/>
        <w:ind w:firstLine="640" w:firstLineChars="200"/>
        <w:contextualSpacing/>
        <w:rPr>
          <w:rFonts w:ascii="仿宋_GB2312" w:hAnsi="仿宋_GB2312" w:eastAsia="仿宋_GB2312" w:cs="仿宋_GB2312"/>
          <w:snapToGrid w:val="0"/>
          <w:kern w:val="0"/>
          <w:sz w:val="32"/>
          <w:szCs w:val="32"/>
        </w:rPr>
      </w:pP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供 货 方：（以下简称“乙方”）地址：</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邮政编码： 电话：</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传真： 联系人:</w:t>
      </w:r>
    </w:p>
    <w:p>
      <w:pPr>
        <w:tabs>
          <w:tab w:val="left" w:pos="4630"/>
        </w:tabs>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甲、乙双方根据《</w:t>
      </w:r>
      <w:r>
        <w:rPr>
          <w:rFonts w:hint="eastAsia" w:ascii="仿宋_GB2312" w:hAnsi="仿宋_GB2312" w:eastAsia="仿宋_GB2312" w:cs="仿宋_GB2312"/>
          <w:snapToGrid w:val="0"/>
          <w:kern w:val="0"/>
          <w:sz w:val="32"/>
          <w:szCs w:val="32"/>
        </w:rPr>
        <w:tab/>
      </w:r>
      <w:r>
        <w:rPr>
          <w:rFonts w:hint="eastAsia" w:ascii="仿宋_GB2312" w:hAnsi="仿宋_GB2312" w:eastAsia="仿宋_GB2312" w:cs="仿宋_GB2312"/>
          <w:b/>
          <w:snapToGrid w:val="0"/>
          <w:kern w:val="0"/>
          <w:sz w:val="32"/>
          <w:szCs w:val="32"/>
        </w:rPr>
        <w:t>，</w:t>
      </w:r>
      <w:r>
        <w:rPr>
          <w:rFonts w:hint="eastAsia" w:ascii="仿宋_GB2312" w:hAnsi="仿宋_GB2312" w:eastAsia="仿宋_GB2312" w:cs="仿宋_GB2312"/>
          <w:b/>
          <w:snapToGrid w:val="0"/>
          <w:kern w:val="0"/>
          <w:sz w:val="32"/>
          <w:szCs w:val="32"/>
          <w:u w:val="single"/>
        </w:rPr>
        <w:t xml:space="preserve">项目编号:       </w:t>
      </w:r>
      <w:r>
        <w:rPr>
          <w:rFonts w:hint="eastAsia" w:ascii="仿宋_GB2312" w:hAnsi="仿宋_GB2312" w:eastAsia="仿宋_GB2312" w:cs="仿宋_GB2312"/>
          <w:snapToGrid w:val="0"/>
          <w:kern w:val="0"/>
          <w:sz w:val="32"/>
          <w:szCs w:val="32"/>
        </w:rPr>
        <w:t>》招标采购结果，在双方履行招投标文件及文件澄清、修订、变更、确认函、承诺函等各项承诺原则下，同意按下述条款和条件签署本合同：</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w:t>
      </w:r>
      <w:r>
        <w:rPr>
          <w:rFonts w:hint="eastAsia" w:ascii="仿宋_GB2312" w:hAnsi="仿宋_GB2312" w:eastAsia="仿宋_GB2312" w:cs="仿宋_GB2312"/>
          <w:b/>
          <w:snapToGrid w:val="0"/>
          <w:kern w:val="0"/>
          <w:sz w:val="32"/>
          <w:szCs w:val="32"/>
        </w:rPr>
        <w:t>供货条款</w:t>
      </w:r>
    </w:p>
    <w:p>
      <w:pPr>
        <w:numPr>
          <w:ilvl w:val="0"/>
          <w:numId w:val="13"/>
        </w:numPr>
        <w:tabs>
          <w:tab w:val="left" w:pos="963"/>
        </w:tabs>
        <w:spacing w:line="600" w:lineRule="exact"/>
        <w:ind w:left="0"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货物名称与数量</w:t>
      </w:r>
    </w:p>
    <w:p>
      <w:pPr>
        <w:spacing w:line="560" w:lineRule="exact"/>
        <w:ind w:firstLine="643" w:firstLineChars="200"/>
        <w:contextualSpacing/>
        <w:rPr>
          <w:rFonts w:ascii="仿宋_GB2312" w:hAnsi="仿宋_GB2312" w:eastAsia="仿宋_GB2312" w:cs="仿宋_GB2312"/>
          <w:b/>
          <w:snapToGrid w:val="0"/>
          <w:kern w:val="0"/>
          <w:sz w:val="32"/>
          <w:szCs w:val="32"/>
        </w:rPr>
      </w:pPr>
    </w:p>
    <w:tbl>
      <w:tblPr>
        <w:tblStyle w:val="47"/>
        <w:tblW w:w="0" w:type="auto"/>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2355"/>
        <w:gridCol w:w="1134"/>
        <w:gridCol w:w="1163"/>
        <w:gridCol w:w="1071"/>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62" w:type="dxa"/>
          </w:tcPr>
          <w:p>
            <w:pPr>
              <w:autoSpaceDE w:val="0"/>
              <w:autoSpaceDN w:val="0"/>
              <w:spacing w:line="560" w:lineRule="exact"/>
              <w:contextualSpacing/>
              <w:jc w:val="center"/>
              <w:rPr>
                <w:rFonts w:ascii="仿宋_GB2312" w:hAnsi="仿宋_GB2312" w:eastAsia="仿宋_GB2312" w:cs="仿宋_GB2312"/>
                <w:snapToGrid w:val="0"/>
                <w:kern w:val="0"/>
                <w:sz w:val="32"/>
                <w:szCs w:val="32"/>
                <w:lang w:bidi="zh-CN"/>
              </w:rPr>
            </w:pPr>
            <w:r>
              <w:rPr>
                <w:rFonts w:hint="eastAsia" w:ascii="仿宋_GB2312" w:hAnsi="仿宋_GB2312" w:eastAsia="仿宋_GB2312" w:cs="仿宋_GB2312"/>
                <w:snapToGrid w:val="0"/>
                <w:kern w:val="0"/>
                <w:sz w:val="32"/>
                <w:szCs w:val="32"/>
                <w:lang w:bidi="zh-CN"/>
              </w:rPr>
              <w:t>序 号</w:t>
            </w:r>
          </w:p>
        </w:tc>
        <w:tc>
          <w:tcPr>
            <w:tcW w:w="2355" w:type="dxa"/>
          </w:tcPr>
          <w:p>
            <w:pPr>
              <w:autoSpaceDE w:val="0"/>
              <w:autoSpaceDN w:val="0"/>
              <w:spacing w:line="560" w:lineRule="exact"/>
              <w:contextualSpacing/>
              <w:jc w:val="center"/>
              <w:rPr>
                <w:rFonts w:ascii="仿宋_GB2312" w:hAnsi="仿宋_GB2312" w:eastAsia="仿宋_GB2312" w:cs="仿宋_GB2312"/>
                <w:snapToGrid w:val="0"/>
                <w:kern w:val="0"/>
                <w:sz w:val="32"/>
                <w:szCs w:val="32"/>
                <w:lang w:bidi="zh-CN"/>
              </w:rPr>
            </w:pPr>
            <w:r>
              <w:rPr>
                <w:rFonts w:hint="eastAsia" w:ascii="仿宋_GB2312" w:hAnsi="仿宋_GB2312" w:eastAsia="仿宋_GB2312" w:cs="仿宋_GB2312"/>
                <w:snapToGrid w:val="0"/>
                <w:kern w:val="0"/>
                <w:sz w:val="32"/>
                <w:szCs w:val="32"/>
                <w:lang w:bidi="zh-CN"/>
              </w:rPr>
              <w:t>货物名称</w:t>
            </w:r>
          </w:p>
        </w:tc>
        <w:tc>
          <w:tcPr>
            <w:tcW w:w="1134" w:type="dxa"/>
          </w:tcPr>
          <w:p>
            <w:pPr>
              <w:autoSpaceDE w:val="0"/>
              <w:autoSpaceDN w:val="0"/>
              <w:spacing w:line="560" w:lineRule="exact"/>
              <w:contextualSpacing/>
              <w:jc w:val="center"/>
              <w:rPr>
                <w:rFonts w:ascii="仿宋_GB2312" w:hAnsi="仿宋_GB2312" w:eastAsia="仿宋_GB2312" w:cs="仿宋_GB2312"/>
                <w:snapToGrid w:val="0"/>
                <w:kern w:val="0"/>
                <w:sz w:val="32"/>
                <w:szCs w:val="32"/>
                <w:lang w:bidi="zh-CN"/>
              </w:rPr>
            </w:pPr>
            <w:r>
              <w:rPr>
                <w:rFonts w:hint="eastAsia" w:ascii="仿宋_GB2312" w:hAnsi="仿宋_GB2312" w:eastAsia="仿宋_GB2312" w:cs="仿宋_GB2312"/>
                <w:snapToGrid w:val="0"/>
                <w:kern w:val="0"/>
                <w:sz w:val="32"/>
                <w:szCs w:val="32"/>
                <w:lang w:bidi="zh-CN"/>
              </w:rPr>
              <w:t>单位</w:t>
            </w:r>
          </w:p>
        </w:tc>
        <w:tc>
          <w:tcPr>
            <w:tcW w:w="1163" w:type="dxa"/>
          </w:tcPr>
          <w:p>
            <w:pPr>
              <w:autoSpaceDE w:val="0"/>
              <w:autoSpaceDN w:val="0"/>
              <w:spacing w:line="560" w:lineRule="exact"/>
              <w:contextualSpacing/>
              <w:jc w:val="center"/>
              <w:rPr>
                <w:rFonts w:ascii="仿宋_GB2312" w:hAnsi="仿宋_GB2312" w:eastAsia="仿宋_GB2312" w:cs="仿宋_GB2312"/>
                <w:snapToGrid w:val="0"/>
                <w:kern w:val="0"/>
                <w:sz w:val="32"/>
                <w:szCs w:val="32"/>
                <w:lang w:bidi="zh-CN"/>
              </w:rPr>
            </w:pPr>
            <w:r>
              <w:rPr>
                <w:rFonts w:hint="eastAsia" w:ascii="仿宋_GB2312" w:hAnsi="仿宋_GB2312" w:eastAsia="仿宋_GB2312" w:cs="仿宋_GB2312"/>
                <w:snapToGrid w:val="0"/>
                <w:kern w:val="0"/>
                <w:sz w:val="32"/>
                <w:szCs w:val="32"/>
                <w:lang w:bidi="zh-CN"/>
              </w:rPr>
              <w:t>数 量</w:t>
            </w:r>
          </w:p>
        </w:tc>
        <w:tc>
          <w:tcPr>
            <w:tcW w:w="1071" w:type="dxa"/>
          </w:tcPr>
          <w:p>
            <w:pPr>
              <w:autoSpaceDE w:val="0"/>
              <w:autoSpaceDN w:val="0"/>
              <w:spacing w:line="560" w:lineRule="exact"/>
              <w:contextualSpacing/>
              <w:jc w:val="center"/>
              <w:rPr>
                <w:rFonts w:ascii="仿宋_GB2312" w:hAnsi="仿宋_GB2312" w:eastAsia="仿宋_GB2312" w:cs="仿宋_GB2312"/>
                <w:snapToGrid w:val="0"/>
                <w:kern w:val="0"/>
                <w:sz w:val="32"/>
                <w:szCs w:val="32"/>
                <w:lang w:bidi="zh-CN"/>
              </w:rPr>
            </w:pPr>
            <w:r>
              <w:rPr>
                <w:rFonts w:hint="eastAsia" w:ascii="仿宋_GB2312" w:hAnsi="仿宋_GB2312" w:eastAsia="仿宋_GB2312" w:cs="仿宋_GB2312"/>
                <w:snapToGrid w:val="0"/>
                <w:kern w:val="0"/>
                <w:sz w:val="32"/>
                <w:szCs w:val="32"/>
                <w:lang w:bidi="zh-CN"/>
              </w:rPr>
              <w:t>单 价（元）</w:t>
            </w:r>
          </w:p>
        </w:tc>
        <w:tc>
          <w:tcPr>
            <w:tcW w:w="1308" w:type="dxa"/>
          </w:tcPr>
          <w:p>
            <w:pPr>
              <w:autoSpaceDE w:val="0"/>
              <w:autoSpaceDN w:val="0"/>
              <w:spacing w:line="560" w:lineRule="exact"/>
              <w:contextualSpacing/>
              <w:jc w:val="center"/>
              <w:rPr>
                <w:rFonts w:ascii="仿宋_GB2312" w:hAnsi="仿宋_GB2312" w:eastAsia="仿宋_GB2312" w:cs="仿宋_GB2312"/>
                <w:snapToGrid w:val="0"/>
                <w:kern w:val="0"/>
                <w:sz w:val="32"/>
                <w:szCs w:val="32"/>
                <w:lang w:bidi="zh-CN"/>
              </w:rPr>
            </w:pPr>
            <w:r>
              <w:rPr>
                <w:rFonts w:hint="eastAsia" w:ascii="仿宋_GB2312" w:hAnsi="仿宋_GB2312" w:eastAsia="仿宋_GB2312" w:cs="仿宋_GB2312"/>
                <w:snapToGrid w:val="0"/>
                <w:kern w:val="0"/>
                <w:sz w:val="32"/>
                <w:szCs w:val="32"/>
                <w:lang w:bidi="zh-CN"/>
              </w:rPr>
              <w:t>金 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62" w:type="dxa"/>
          </w:tcPr>
          <w:p>
            <w:pPr>
              <w:autoSpaceDE w:val="0"/>
              <w:autoSpaceDN w:val="0"/>
              <w:spacing w:line="560" w:lineRule="exact"/>
              <w:ind w:firstLine="640" w:firstLineChars="200"/>
              <w:contextualSpacing/>
              <w:rPr>
                <w:rFonts w:ascii="仿宋_GB2312" w:hAnsi="仿宋_GB2312" w:eastAsia="仿宋_GB2312" w:cs="仿宋_GB2312"/>
                <w:snapToGrid w:val="0"/>
                <w:kern w:val="0"/>
                <w:sz w:val="32"/>
                <w:szCs w:val="32"/>
                <w:lang w:bidi="zh-CN"/>
              </w:rPr>
            </w:pPr>
          </w:p>
        </w:tc>
        <w:tc>
          <w:tcPr>
            <w:tcW w:w="2355" w:type="dxa"/>
          </w:tcPr>
          <w:p>
            <w:pPr>
              <w:autoSpaceDE w:val="0"/>
              <w:autoSpaceDN w:val="0"/>
              <w:spacing w:line="560" w:lineRule="exact"/>
              <w:ind w:firstLine="640" w:firstLineChars="200"/>
              <w:contextualSpacing/>
              <w:rPr>
                <w:rFonts w:ascii="仿宋_GB2312" w:hAnsi="仿宋_GB2312" w:eastAsia="仿宋_GB2312" w:cs="仿宋_GB2312"/>
                <w:snapToGrid w:val="0"/>
                <w:kern w:val="0"/>
                <w:sz w:val="32"/>
                <w:szCs w:val="32"/>
                <w:lang w:bidi="zh-CN"/>
              </w:rPr>
            </w:pPr>
          </w:p>
        </w:tc>
        <w:tc>
          <w:tcPr>
            <w:tcW w:w="1134" w:type="dxa"/>
          </w:tcPr>
          <w:p>
            <w:pPr>
              <w:autoSpaceDE w:val="0"/>
              <w:autoSpaceDN w:val="0"/>
              <w:spacing w:line="560" w:lineRule="exact"/>
              <w:ind w:firstLine="320" w:firstLineChars="100"/>
              <w:contextualSpacing/>
              <w:rPr>
                <w:rFonts w:ascii="仿宋_GB2312" w:hAnsi="仿宋_GB2312" w:eastAsia="仿宋_GB2312" w:cs="仿宋_GB2312"/>
                <w:snapToGrid w:val="0"/>
                <w:kern w:val="0"/>
                <w:sz w:val="32"/>
                <w:szCs w:val="32"/>
                <w:lang w:bidi="zh-CN"/>
              </w:rPr>
            </w:pPr>
          </w:p>
        </w:tc>
        <w:tc>
          <w:tcPr>
            <w:tcW w:w="1163" w:type="dxa"/>
          </w:tcPr>
          <w:p>
            <w:pPr>
              <w:autoSpaceDE w:val="0"/>
              <w:autoSpaceDN w:val="0"/>
              <w:spacing w:line="560" w:lineRule="exact"/>
              <w:ind w:firstLine="640" w:firstLineChars="200"/>
              <w:contextualSpacing/>
              <w:rPr>
                <w:rFonts w:ascii="仿宋_GB2312" w:hAnsi="仿宋_GB2312" w:eastAsia="仿宋_GB2312" w:cs="仿宋_GB2312"/>
                <w:snapToGrid w:val="0"/>
                <w:kern w:val="0"/>
                <w:sz w:val="32"/>
                <w:szCs w:val="32"/>
                <w:lang w:bidi="zh-CN"/>
              </w:rPr>
            </w:pPr>
          </w:p>
        </w:tc>
        <w:tc>
          <w:tcPr>
            <w:tcW w:w="1071" w:type="dxa"/>
          </w:tcPr>
          <w:p>
            <w:pPr>
              <w:autoSpaceDE w:val="0"/>
              <w:autoSpaceDN w:val="0"/>
              <w:spacing w:line="560" w:lineRule="exact"/>
              <w:contextualSpacing/>
              <w:rPr>
                <w:rFonts w:ascii="仿宋_GB2312" w:hAnsi="仿宋_GB2312" w:eastAsia="仿宋_GB2312" w:cs="仿宋_GB2312"/>
                <w:snapToGrid w:val="0"/>
                <w:kern w:val="0"/>
                <w:sz w:val="32"/>
                <w:szCs w:val="32"/>
                <w:lang w:bidi="zh-CN"/>
              </w:rPr>
            </w:pPr>
          </w:p>
        </w:tc>
        <w:tc>
          <w:tcPr>
            <w:tcW w:w="1308" w:type="dxa"/>
          </w:tcPr>
          <w:p>
            <w:pPr>
              <w:autoSpaceDE w:val="0"/>
              <w:autoSpaceDN w:val="0"/>
              <w:spacing w:line="560" w:lineRule="exact"/>
              <w:contextualSpacing/>
              <w:rPr>
                <w:rFonts w:ascii="仿宋_GB2312" w:hAnsi="仿宋_GB2312" w:eastAsia="仿宋_GB2312" w:cs="仿宋_GB2312"/>
                <w:snapToGrid w:val="0"/>
                <w:kern w:val="0"/>
                <w:sz w:val="32"/>
                <w:szCs w:val="32"/>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093" w:type="dxa"/>
            <w:gridSpan w:val="6"/>
          </w:tcPr>
          <w:p>
            <w:pPr>
              <w:tabs>
                <w:tab w:val="left" w:pos="2748"/>
                <w:tab w:val="left" w:pos="4788"/>
              </w:tabs>
              <w:autoSpaceDE w:val="0"/>
              <w:autoSpaceDN w:val="0"/>
              <w:spacing w:line="560" w:lineRule="exact"/>
              <w:ind w:firstLine="640" w:firstLineChars="200"/>
              <w:contextualSpacing/>
              <w:rPr>
                <w:rFonts w:ascii="仿宋_GB2312" w:hAnsi="仿宋_GB2312" w:eastAsia="仿宋_GB2312" w:cs="仿宋_GB2312"/>
                <w:snapToGrid w:val="0"/>
                <w:kern w:val="0"/>
                <w:sz w:val="32"/>
                <w:szCs w:val="32"/>
                <w:lang w:bidi="zh-CN"/>
              </w:rPr>
            </w:pPr>
            <w:r>
              <w:rPr>
                <w:rFonts w:hint="eastAsia" w:ascii="仿宋_GB2312" w:hAnsi="仿宋_GB2312" w:eastAsia="仿宋_GB2312" w:cs="仿宋_GB2312"/>
                <w:snapToGrid w:val="0"/>
                <w:kern w:val="0"/>
                <w:sz w:val="32"/>
                <w:szCs w:val="32"/>
                <w:lang w:bidi="zh-CN"/>
              </w:rPr>
              <w:t>总值：￥</w:t>
            </w:r>
            <w:r>
              <w:rPr>
                <w:rFonts w:ascii="仿宋_GB2312" w:hAnsi="仿宋_GB2312" w:eastAsia="仿宋_GB2312" w:cs="仿宋_GB2312"/>
                <w:snapToGrid w:val="0"/>
                <w:kern w:val="0"/>
                <w:sz w:val="32"/>
                <w:szCs w:val="32"/>
                <w:lang w:bidi="zh-CN"/>
              </w:rPr>
              <w:t xml:space="preserve">     </w:t>
            </w:r>
            <w:r>
              <w:rPr>
                <w:rFonts w:hint="eastAsia" w:ascii="仿宋_GB2312" w:hAnsi="仿宋_GB2312" w:eastAsia="仿宋_GB2312" w:cs="仿宋_GB2312"/>
                <w:snapToGrid w:val="0"/>
                <w:kern w:val="0"/>
                <w:sz w:val="32"/>
                <w:szCs w:val="32"/>
                <w:lang w:bidi="zh-CN"/>
              </w:rPr>
              <w:t>元（人民币</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bidi="zh-CN"/>
              </w:rPr>
              <w:t>元整）</w:t>
            </w:r>
          </w:p>
        </w:tc>
      </w:tr>
    </w:tbl>
    <w:p>
      <w:pPr>
        <w:numPr>
          <w:ilvl w:val="0"/>
          <w:numId w:val="13"/>
        </w:numPr>
        <w:tabs>
          <w:tab w:val="left" w:pos="963"/>
        </w:tabs>
        <w:spacing w:line="600" w:lineRule="exact"/>
        <w:ind w:left="0" w:firstLine="643"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 xml:space="preserve">交货日期： </w:t>
      </w:r>
      <w:r>
        <w:rPr>
          <w:rFonts w:hint="eastAsia" w:ascii="仿宋_GB2312" w:hAnsi="仿宋_GB2312" w:eastAsia="仿宋_GB2312" w:cs="仿宋_GB2312"/>
          <w:b/>
          <w:snapToGrid w:val="0"/>
          <w:kern w:val="0"/>
          <w:sz w:val="32"/>
          <w:szCs w:val="32"/>
          <w:u w:val="single"/>
        </w:rPr>
        <w:t xml:space="preserve">         。</w:t>
      </w:r>
      <w:r>
        <w:rPr>
          <w:rFonts w:hint="eastAsia" w:ascii="仿宋_GB2312" w:hAnsi="仿宋_GB2312" w:eastAsia="仿宋_GB2312" w:cs="仿宋_GB2312"/>
          <w:snapToGrid w:val="0"/>
          <w:kern w:val="0"/>
          <w:sz w:val="32"/>
          <w:szCs w:val="32"/>
        </w:rPr>
        <w:t>乙方应在发货前四十八小时，以书面方式通知甲方接货。否则，因此发生的一切损失均由乙方承担。交货地点： 联系人：</w:t>
      </w:r>
    </w:p>
    <w:p>
      <w:pPr>
        <w:numPr>
          <w:ilvl w:val="0"/>
          <w:numId w:val="13"/>
        </w:numPr>
        <w:tabs>
          <w:tab w:val="left" w:pos="963"/>
        </w:tabs>
        <w:spacing w:line="600" w:lineRule="exact"/>
        <w:ind w:left="0"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技术规格：</w:t>
      </w:r>
    </w:p>
    <w:p>
      <w:pPr>
        <w:numPr>
          <w:ilvl w:val="1"/>
          <w:numId w:val="13"/>
        </w:numPr>
        <w:tabs>
          <w:tab w:val="left" w:pos="1442"/>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本合同项下的货物技术规格以《招标文件》及《投标文件》所载明的技术规格为准，对没有提及的适用标准，卖方承诺该等标准符合货物来源国适用的官方标准且该等标准必须是有关机构发布的最新版本的标准。</w:t>
      </w:r>
    </w:p>
    <w:p>
      <w:pPr>
        <w:numPr>
          <w:ilvl w:val="1"/>
          <w:numId w:val="13"/>
        </w:numPr>
        <w:tabs>
          <w:tab w:val="left" w:pos="1442"/>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招标文件》及《投标文件》（若有）所载明的货物技术规格如有任何不明确之处，卖方所提供的本合同项下货物应以《投标文件》载明的技术规格为准，且不得低于该技术规格。详细技术规格、配置清单及备品备件（见附件 1）。</w:t>
      </w:r>
    </w:p>
    <w:p>
      <w:pPr>
        <w:numPr>
          <w:ilvl w:val="0"/>
          <w:numId w:val="13"/>
        </w:numPr>
        <w:tabs>
          <w:tab w:val="left" w:pos="963"/>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包装、装运及清点：</w:t>
      </w:r>
    </w:p>
    <w:p>
      <w:pPr>
        <w:numPr>
          <w:ilvl w:val="0"/>
          <w:numId w:val="14"/>
        </w:numPr>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设备需采取坚固外包装，适合长途运输，防湿，防潮、防震、防锈，耐粗暴搬运等。以确保设备安全无损运抵甲方指定地点。如果设备外包装在运输途中发生损坏，甲方将拒绝签收，并及时通知乙方，因存放而发生的费用由乙方承担；由于包装不善而造成设备损坏的，乙方应无条件退换并承担由此而产生的一切费用、损失及违约责任。</w:t>
      </w:r>
    </w:p>
    <w:p>
      <w:pPr>
        <w:numPr>
          <w:ilvl w:val="0"/>
          <w:numId w:val="14"/>
        </w:numPr>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乙方提供设备全套运输单据给甲方；甲方认可并签收设备后，应将设备妥善保管，待甲、乙双方同时清点。</w:t>
      </w:r>
    </w:p>
    <w:p>
      <w:pPr>
        <w:numPr>
          <w:ilvl w:val="0"/>
          <w:numId w:val="14"/>
        </w:numPr>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随货附一份详细装箱单和设备质量合格证、设备品质证书,计量设备检定/校准证书。并包括相应的每一套设备和仪器的中文的技术文件。如：产品目录、操作手册、使用说明、维护手册或服务指南等。设备最终交付时前述单证不全的， 乙方应及时补齐。乙方超过合同约定交货期限补齐的，应比照逾期交付的违约责任向甲方支付违约金。</w:t>
      </w:r>
    </w:p>
    <w:p>
      <w:pPr>
        <w:numPr>
          <w:ilvl w:val="0"/>
          <w:numId w:val="14"/>
        </w:numPr>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每件设备的外包装上标明标注：合同号、目的地（港）名称、件数、收货人信息、发货人信息；对于危险品、有毒及防湿，防潮、防震等设备，必须按惯例在每件设备外包装上、每件设备上明显写出有关标记及性质说明。</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6、伴随服务</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乙方应按照合同或技术规格的规定，提供下列服务中任一或所有服务：</w:t>
      </w:r>
    </w:p>
    <w:p>
      <w:pPr>
        <w:numPr>
          <w:ilvl w:val="0"/>
          <w:numId w:val="15"/>
        </w:numPr>
        <w:tabs>
          <w:tab w:val="left" w:pos="1441"/>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实施所供货物的集成；</w:t>
      </w:r>
    </w:p>
    <w:p>
      <w:pPr>
        <w:numPr>
          <w:ilvl w:val="0"/>
          <w:numId w:val="15"/>
        </w:numPr>
        <w:tabs>
          <w:tab w:val="left" w:pos="1441"/>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实施所供货物的现场安装、调试和试运行；</w:t>
      </w:r>
    </w:p>
    <w:p>
      <w:pPr>
        <w:numPr>
          <w:ilvl w:val="0"/>
          <w:numId w:val="15"/>
        </w:numPr>
        <w:tabs>
          <w:tab w:val="left" w:pos="1441"/>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提供货物组装、维修和质量保证期内正常运行和/或使用所必需的备品备件和专用工具；</w:t>
      </w:r>
    </w:p>
    <w:p>
      <w:pPr>
        <w:numPr>
          <w:ilvl w:val="0"/>
          <w:numId w:val="15"/>
        </w:numPr>
        <w:tabs>
          <w:tab w:val="left" w:pos="1441"/>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为所供货物的每一适当的单台设备提供详细的中文操作和维护手册；</w:t>
      </w:r>
    </w:p>
    <w:p>
      <w:pPr>
        <w:numPr>
          <w:ilvl w:val="0"/>
          <w:numId w:val="15"/>
        </w:numPr>
        <w:tabs>
          <w:tab w:val="left" w:pos="1441"/>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在项目现场就所供货物的组装、试运行、运行、维护和/或修理对甲方人员进行培训；</w:t>
      </w:r>
    </w:p>
    <w:p>
      <w:pPr>
        <w:numPr>
          <w:ilvl w:val="0"/>
          <w:numId w:val="15"/>
        </w:numPr>
        <w:tabs>
          <w:tab w:val="left" w:pos="1441"/>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质量保证期内，乙方应保证备件的供应。质量保证期满后，如乙方将要停止备件生产，应事先将停产计划通知甲方，以使甲方有足够的时间采购所需的备件。在备品备件停止生产后，如果买方要求，免费向买方提供备品备件的蓝图、图纸和规格。否则，因备件问题导致设备无法使用，甲方有权向乙方追索全部整机损失。</w:t>
      </w:r>
    </w:p>
    <w:p>
      <w:pPr>
        <w:numPr>
          <w:ilvl w:val="0"/>
          <w:numId w:val="15"/>
        </w:numPr>
        <w:tabs>
          <w:tab w:val="left" w:pos="1441"/>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软件安装时提供最新版本。</w:t>
      </w:r>
    </w:p>
    <w:p>
      <w:pPr>
        <w:numPr>
          <w:ilvl w:val="0"/>
          <w:numId w:val="15"/>
        </w:numPr>
        <w:tabs>
          <w:tab w:val="left" w:pos="1441"/>
        </w:tabs>
        <w:spacing w:line="600" w:lineRule="exact"/>
        <w:ind w:left="0" w:firstLine="640"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snapToGrid w:val="0"/>
          <w:kern w:val="0"/>
          <w:sz w:val="32"/>
          <w:szCs w:val="32"/>
        </w:rPr>
        <w:t>伴随服务的费用已保含在设备的合同总价中。</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7．运输及运费</w:t>
      </w:r>
    </w:p>
    <w:p>
      <w:pPr>
        <w:numPr>
          <w:ilvl w:val="0"/>
          <w:numId w:val="16"/>
        </w:numPr>
        <w:tabs>
          <w:tab w:val="left" w:pos="1322"/>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乙方负责将设备运至甲方所在地，在途设备的风险由乙方承担。</w:t>
      </w:r>
    </w:p>
    <w:p>
      <w:pPr>
        <w:numPr>
          <w:ilvl w:val="0"/>
          <w:numId w:val="16"/>
        </w:numPr>
        <w:tabs>
          <w:tab w:val="left" w:pos="1322"/>
        </w:tabs>
        <w:spacing w:line="600" w:lineRule="exact"/>
        <w:ind w:left="0" w:firstLine="640"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snapToGrid w:val="0"/>
          <w:kern w:val="0"/>
          <w:sz w:val="32"/>
          <w:szCs w:val="32"/>
        </w:rPr>
        <w:t>运费由乙方承担，已包含在合同总价中。</w:t>
      </w:r>
    </w:p>
    <w:p>
      <w:pPr>
        <w:tabs>
          <w:tab w:val="left" w:pos="1322"/>
        </w:tabs>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二、付款方式：</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合同总价为人民币 </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 xml:space="preserve"> 元（大写： </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元整），按以下方式支付：</w:t>
      </w:r>
    </w:p>
    <w:p>
      <w:pPr>
        <w:spacing w:line="600" w:lineRule="exact"/>
        <w:ind w:firstLine="640" w:firstLineChars="200"/>
        <w:contextualSpacing/>
      </w:pPr>
      <w:r>
        <w:rPr>
          <w:rFonts w:hint="eastAsia" w:ascii="仿宋_GB2312" w:hAnsi="仿宋_GB2312" w:eastAsia="仿宋_GB2312" w:cs="仿宋_GB2312"/>
          <w:color w:val="000000"/>
          <w:kern w:val="0"/>
          <w:sz w:val="32"/>
          <w:szCs w:val="32"/>
          <w:lang w:bidi="ar"/>
        </w:rPr>
        <w:t>验收合格出具验收单后，甲方在10个工作日内向乙方支付所有货款。</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甲方根据本合同支付的采购价款应付至乙方指定的如下银行帐户内： </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收款人法定名称：</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开户银行：</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银行帐号：</w:t>
      </w:r>
    </w:p>
    <w:p>
      <w:pPr>
        <w:tabs>
          <w:tab w:val="left" w:pos="2280"/>
        </w:tabs>
        <w:spacing w:line="600" w:lineRule="exact"/>
        <w:ind w:left="638" w:leftChars="304"/>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乙方向甲方必须开具正式合法的货物税务发票。甲方开票信息如下: 名</w:t>
      </w:r>
      <w:r>
        <w:rPr>
          <w:rFonts w:hint="eastAsia" w:ascii="仿宋_GB2312" w:hAnsi="仿宋_GB2312" w:eastAsia="仿宋_GB2312" w:cs="仿宋_GB2312"/>
          <w:snapToGrid w:val="0"/>
          <w:kern w:val="0"/>
          <w:sz w:val="32"/>
          <w:szCs w:val="32"/>
        </w:rPr>
        <w:tab/>
      </w:r>
      <w:r>
        <w:rPr>
          <w:rFonts w:hint="eastAsia" w:ascii="仿宋_GB2312" w:hAnsi="仿宋_GB2312" w:eastAsia="仿宋_GB2312" w:cs="仿宋_GB2312"/>
          <w:snapToGrid w:val="0"/>
          <w:kern w:val="0"/>
          <w:sz w:val="32"/>
          <w:szCs w:val="32"/>
        </w:rPr>
        <w:t>称：</w:t>
      </w:r>
    </w:p>
    <w:p>
      <w:pPr>
        <w:tabs>
          <w:tab w:val="left" w:pos="2280"/>
        </w:tabs>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纳税人识别号： </w:t>
      </w:r>
    </w:p>
    <w:p>
      <w:pPr>
        <w:tabs>
          <w:tab w:val="left" w:pos="2280"/>
        </w:tabs>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地</w:t>
      </w:r>
      <w:r>
        <w:rPr>
          <w:rFonts w:hint="eastAsia" w:ascii="仿宋_GB2312" w:hAnsi="仿宋_GB2312" w:eastAsia="仿宋_GB2312" w:cs="仿宋_GB2312"/>
          <w:snapToGrid w:val="0"/>
          <w:kern w:val="0"/>
          <w:sz w:val="32"/>
          <w:szCs w:val="32"/>
        </w:rPr>
        <w:tab/>
      </w:r>
      <w:r>
        <w:rPr>
          <w:rFonts w:hint="eastAsia" w:ascii="仿宋_GB2312" w:hAnsi="仿宋_GB2312" w:eastAsia="仿宋_GB2312" w:cs="仿宋_GB2312"/>
          <w:snapToGrid w:val="0"/>
          <w:kern w:val="0"/>
          <w:sz w:val="32"/>
          <w:szCs w:val="32"/>
        </w:rPr>
        <w:t>址：</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开户行及账号：</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三、质量保证、质量异议的方式及售后服务：</w:t>
      </w:r>
    </w:p>
    <w:p>
      <w:pPr>
        <w:numPr>
          <w:ilvl w:val="0"/>
          <w:numId w:val="12"/>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乙方所供设备系全新、未曾用过，并完全符合本合同规定的质量、规格和性能。</w:t>
      </w:r>
    </w:p>
    <w:p>
      <w:pPr>
        <w:numPr>
          <w:ilvl w:val="0"/>
          <w:numId w:val="12"/>
        </w:numPr>
        <w:tabs>
          <w:tab w:val="left" w:pos="966"/>
          <w:tab w:val="left" w:pos="4803"/>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乙方同意自设备终验合格之日起</w:t>
      </w:r>
      <w:r>
        <w:rPr>
          <w:rFonts w:hint="eastAsia" w:ascii="仿宋_GB2312" w:hAnsi="仿宋_GB2312" w:eastAsia="仿宋_GB2312" w:cs="仿宋_GB2312"/>
          <w:snapToGrid w:val="0"/>
          <w:kern w:val="0"/>
          <w:sz w:val="32"/>
          <w:szCs w:val="32"/>
          <w:u w:val="single"/>
        </w:rPr>
        <w:t xml:space="preserve"> 1</w:t>
      </w:r>
      <w:r>
        <w:rPr>
          <w:rFonts w:hint="eastAsia" w:ascii="仿宋_GB2312" w:hAnsi="仿宋_GB2312" w:eastAsia="仿宋_GB2312" w:cs="仿宋_GB2312"/>
          <w:snapToGrid w:val="0"/>
          <w:kern w:val="0"/>
          <w:sz w:val="32"/>
          <w:szCs w:val="32"/>
          <w:u w:val="single"/>
        </w:rPr>
        <w:tab/>
      </w:r>
      <w:r>
        <w:rPr>
          <w:rFonts w:hint="eastAsia" w:ascii="仿宋_GB2312" w:hAnsi="仿宋_GB2312" w:eastAsia="仿宋_GB2312" w:cs="仿宋_GB2312"/>
          <w:snapToGrid w:val="0"/>
          <w:kern w:val="0"/>
          <w:sz w:val="32"/>
          <w:szCs w:val="32"/>
        </w:rPr>
        <w:t>年为质量保证期。</w:t>
      </w:r>
    </w:p>
    <w:p>
      <w:pPr>
        <w:numPr>
          <w:ilvl w:val="0"/>
          <w:numId w:val="12"/>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如果设备的质量与合同不符或无法正常使用的，甲方应于问题发现后的一个 月内以书面形式向乙方提出，乙方收到甲方发出的书面通知后七日内未予答复的，甲方有权采取下述任一方式解决：</w:t>
      </w:r>
    </w:p>
    <w:p>
      <w:pPr>
        <w:numPr>
          <w:ilvl w:val="1"/>
          <w:numId w:val="12"/>
        </w:numPr>
        <w:tabs>
          <w:tab w:val="left" w:pos="1628"/>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甲方要求退货的：乙方应按合同规定将货款退还给甲方，并承担由此发生的一切损失、连带责任和费用，包括但不限于利息、银行手续费、运费、保险费、检验费、仓储费、装卸费以及为保护退回设备所需的其它必要费用。</w:t>
      </w:r>
    </w:p>
    <w:p>
      <w:pPr>
        <w:numPr>
          <w:ilvl w:val="1"/>
          <w:numId w:val="12"/>
        </w:numPr>
        <w:tabs>
          <w:tab w:val="left" w:pos="1628"/>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甲方要求更换的：乙方须在收到通知后（15）天内免费更换有缺陷的设备或部件，承担甲方因此所发生的一切直接费用。设备的质量保证期相应顺延。</w:t>
      </w:r>
    </w:p>
    <w:p>
      <w:pPr>
        <w:numPr>
          <w:ilvl w:val="1"/>
          <w:numId w:val="12"/>
        </w:numPr>
        <w:tabs>
          <w:tab w:val="left" w:pos="1628"/>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甲方要求维修的：乙方在收到通知后一周内为甲方解决问题。维修 3 次仍不能符合质量要求的，甲方可选择前述（1）、（2）方式解决。</w:t>
      </w:r>
    </w:p>
    <w:p>
      <w:pPr>
        <w:numPr>
          <w:ilvl w:val="1"/>
          <w:numId w:val="12"/>
        </w:numPr>
        <w:tabs>
          <w:tab w:val="left" w:pos="1628"/>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根据设备低劣程度、损坏程度以及甲方所遭受损失的数额，经买卖双方商定降低设备的价格，或由有资质的机构进行评估，以降低后的价格或评估价格结算。</w:t>
      </w:r>
    </w:p>
    <w:p>
      <w:pPr>
        <w:numPr>
          <w:ilvl w:val="1"/>
          <w:numId w:val="12"/>
        </w:numPr>
        <w:tabs>
          <w:tab w:val="left" w:pos="1628"/>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在甲方发出质量异议通知后（30）天内，未作答复，甲方在通知书中所提出的要求应视为已被乙方接受。如乙方未能在甲方通知书要求的期限内按照甲方提出的方法解决甲方的问题，甲方将从合同款或乙方提交的履约保函或质量保证金中扣款。不足部分，甲方有权要求乙方赔偿。</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甲方有权部分或全部解除合同并要求乙方赔偿由此造成的损失及甲方因此产生的对第三方的责任。此时甲方可采取必要的补救措施，相关费用由乙方承担。</w:t>
      </w:r>
    </w:p>
    <w:p>
      <w:pPr>
        <w:numPr>
          <w:ilvl w:val="0"/>
          <w:numId w:val="12"/>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如乙方收到甲方的质量异议通知书后，对甲方的质量异议不予认同的。应向甲方提交质量监督检验机构出具的能证明设备合格的检验报告。设备经检验无质量问题的，检验费用由甲方承担；否则，由乙方承担。</w:t>
      </w:r>
    </w:p>
    <w:p>
      <w:pPr>
        <w:numPr>
          <w:ilvl w:val="0"/>
          <w:numId w:val="12"/>
        </w:numPr>
        <w:tabs>
          <w:tab w:val="left" w:pos="964"/>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由于乙方技术人员技术指导的错误或技术规格书的错误而导致设备/仪器的损坏，乙方应负责已损坏设备的维修更换，并承担因此而发生的一切费用。</w:t>
      </w:r>
    </w:p>
    <w:p>
      <w:pPr>
        <w:numPr>
          <w:ilvl w:val="0"/>
          <w:numId w:val="12"/>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由于甲方工作人员操作不当、操作失误而导致设备损坏的，相关责任应由甲方自行承担，乙方对此不承担任何责任。</w:t>
      </w:r>
    </w:p>
    <w:p>
      <w:pPr>
        <w:numPr>
          <w:ilvl w:val="0"/>
          <w:numId w:val="12"/>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乙方按照投标文件响应的内容提供完整的售后服务计划及措施，并纳入合同附件（见附件 2）。乙方应在接到用户维修请求后，带足维修配件赶到现场进行维修，应在 小时之内对维修信息做出响应； 小时内排除故障。</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四、检验及验收</w:t>
      </w:r>
    </w:p>
    <w:p>
      <w:pPr>
        <w:numPr>
          <w:ilvl w:val="0"/>
          <w:numId w:val="17"/>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乙方将设备运抵甲方指定地点后，甲方按照合同约定对设备的外观等进行初步检验并出具到货初验手续。</w:t>
      </w:r>
    </w:p>
    <w:p>
      <w:pPr>
        <w:numPr>
          <w:ilvl w:val="0"/>
          <w:numId w:val="17"/>
        </w:numPr>
        <w:tabs>
          <w:tab w:val="left" w:pos="964"/>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乙方按照甲方通知要求，负责货到现场的安装、调试工作。安装调试合格后，经甲方验收合格，甲方出具终验报告。 </w:t>
      </w:r>
    </w:p>
    <w:p>
      <w:pPr>
        <w:spacing w:line="600" w:lineRule="exact"/>
        <w:ind w:firstLine="640"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snapToGrid w:val="0"/>
          <w:kern w:val="0"/>
          <w:sz w:val="32"/>
          <w:szCs w:val="32"/>
        </w:rPr>
        <w:t>五、</w:t>
      </w:r>
      <w:r>
        <w:rPr>
          <w:rFonts w:hint="eastAsia" w:ascii="仿宋_GB2312" w:hAnsi="仿宋_GB2312" w:eastAsia="仿宋_GB2312" w:cs="仿宋_GB2312"/>
          <w:b/>
          <w:snapToGrid w:val="0"/>
          <w:kern w:val="0"/>
          <w:sz w:val="32"/>
          <w:szCs w:val="32"/>
        </w:rPr>
        <w:t>培训：</w:t>
      </w:r>
    </w:p>
    <w:p>
      <w:pPr>
        <w:tabs>
          <w:tab w:val="left" w:pos="5696"/>
        </w:tabs>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乙方应在项目现场就所供货物的组装、试运行、运行、维护和/或修理对甲方人员进行培训。</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六、违约责任</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迟延交货或提供服务的，应承担逾期的违约责任：每逾期一周（不足一周以一周计），按未履行部分金额万分之五的比例向甲方支付违约金。违约金累计总额不超过合同总额的百分之五。累计违约金总额超出合同总金额百分之五的，甲方有权全部或部分解除合同。合同解除后，乙方应返还甲方已经支付的货款，同时，甲方有权扣除或通知银行扣回履约保函中的全部履约保证金。如违约金不足以弥补甲方损失的，甲方有权要求赔偿。</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七、 不可抗力：</w:t>
      </w:r>
    </w:p>
    <w:p>
      <w:pPr>
        <w:numPr>
          <w:ilvl w:val="0"/>
          <w:numId w:val="18"/>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合同任何一方因不可抗力事件不能履行合同的全部或部分义务时，根据不可抗力的影响，部分或全部免除责任。但因一方迟延履行合同后发生不可抗力的，责任不能免除。</w:t>
      </w:r>
    </w:p>
    <w:p>
      <w:pPr>
        <w:numPr>
          <w:ilvl w:val="0"/>
          <w:numId w:val="18"/>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本合同所称不可抗力事件是指双方在订立合同时不能预见、对其发生和后果不能避免并不能克服的客观事件，如：战争、火灾、地震等。</w:t>
      </w:r>
    </w:p>
    <w:p>
      <w:pPr>
        <w:numPr>
          <w:ilvl w:val="0"/>
          <w:numId w:val="18"/>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遭受不可抗力一方须在事件发生后立即尽快用电报、传真或电传通知对方并在事件发生后14天内将事件发生地相关机构出具的证明文件用航空邮寄另方为证。如果一方遭受不可抗力且不可抗力事件持续90天以上，双方应通过友好协商在合理的时间内达成进一步履行合同的协议或解除合同。在出现政府采购计划和预算变更的情形下，甲方有权变更或解除合同而无需对此承担违约责任且不给乙方方以任何补偿。</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八、争端的解决：</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合同履行过程中，甲、乙双方所发生的争议，应首先友好协商解决。无法协商解决的，任何一方均有权将争议提交廊坊仲裁委员会按其仲裁规则在廊坊进行仲裁，所有的仲裁费用，包括但不限于仲裁费、执行费、交通费和律师费，由败诉方承担。仲裁裁决应为最终裁决，对双方均具有约束力。</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九、 合同生效：</w:t>
      </w:r>
    </w:p>
    <w:p>
      <w:pPr>
        <w:spacing w:line="600" w:lineRule="exact"/>
        <w:ind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本合同经甲乙双方签字、盖章后生效。</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 xml:space="preserve">十、下列文件均为本合同不可分割的组成部分： </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附件 1：供货清单</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附件 2：货物验收方案、售后服务承诺</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附件 3：合格验收证明</w:t>
      </w:r>
    </w:p>
    <w:p>
      <w:pPr>
        <w:spacing w:line="600" w:lineRule="exact"/>
        <w:ind w:firstLine="643" w:firstLineChars="200"/>
        <w:contextualSpacing/>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十一、其他</w:t>
      </w:r>
    </w:p>
    <w:p>
      <w:pPr>
        <w:numPr>
          <w:ilvl w:val="0"/>
          <w:numId w:val="19"/>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其他未尽事宜，双方友好协商后签署补充协议。未经协商，擅自变更行为无效。</w:t>
      </w:r>
    </w:p>
    <w:p>
      <w:pPr>
        <w:numPr>
          <w:ilvl w:val="0"/>
          <w:numId w:val="19"/>
        </w:numPr>
        <w:tabs>
          <w:tab w:val="left" w:pos="966"/>
        </w:tabs>
        <w:spacing w:line="600" w:lineRule="exact"/>
        <w:ind w:left="0" w:firstLine="640" w:firstLineChars="200"/>
        <w:contextualSpacing/>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本合同一式陆份，甲方执肆份，乙方执贰份，具同等法律效力。</w:t>
      </w:r>
    </w:p>
    <w:p>
      <w:pPr>
        <w:numPr>
          <w:ilvl w:val="0"/>
          <w:numId w:val="19"/>
        </w:numPr>
        <w:tabs>
          <w:tab w:val="left" w:pos="966"/>
        </w:tabs>
        <w:spacing w:line="600" w:lineRule="exact"/>
        <w:ind w:left="0" w:firstLine="640"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snapToGrid w:val="0"/>
          <w:kern w:val="0"/>
          <w:sz w:val="32"/>
          <w:szCs w:val="32"/>
        </w:rPr>
        <w:t>附件为本合同不可分割的组成部分，与本合同具有同等法律效力。因国家对内、对外政策变化导致本合同不能履行的，比照不可抗力条款内容执行。</w:t>
      </w:r>
    </w:p>
    <w:p>
      <w:pPr>
        <w:tabs>
          <w:tab w:val="left" w:pos="966"/>
        </w:tabs>
        <w:spacing w:line="600" w:lineRule="exact"/>
        <w:ind w:left="420" w:leftChars="200" w:firstLine="240" w:firstLineChars="100"/>
        <w:contextualSpacing/>
        <w:rPr>
          <w:rFonts w:ascii="仿宋_GB2312" w:hAnsi="仿宋_GB2312" w:eastAsia="仿宋_GB2312" w:cs="仿宋_GB2312"/>
          <w:kern w:val="0"/>
          <w:sz w:val="32"/>
          <w:szCs w:val="32"/>
        </w:rPr>
      </w:pPr>
      <w:r>
        <w:rPr>
          <w:rFonts w:hint="eastAsia" w:ascii="仿宋_GB2312" w:hAnsi="仿宋_GB2312" w:eastAsia="仿宋_GB2312" w:cs="仿宋_GB2312"/>
          <w:spacing w:val="-40"/>
          <w:kern w:val="0"/>
          <w:sz w:val="32"/>
          <w:szCs w:val="32"/>
        </w:rPr>
        <w:t>甲方：</w:t>
      </w:r>
      <w:r>
        <w:rPr>
          <w:rFonts w:hint="eastAsia" w:ascii="仿宋_GB2312" w:hAnsi="仿宋_GB2312" w:eastAsia="仿宋_GB2312" w:cs="仿宋_GB2312"/>
          <w:kern w:val="0"/>
          <w:sz w:val="32"/>
          <w:szCs w:val="32"/>
        </w:rPr>
        <w:t>（盖章）</w:t>
      </w:r>
    </w:p>
    <w:p>
      <w:pPr>
        <w:spacing w:before="11" w:line="600" w:lineRule="exact"/>
        <w:rPr>
          <w:rFonts w:ascii="仿宋_GB2312" w:hAnsi="仿宋_GB2312" w:eastAsia="仿宋_GB2312" w:cs="仿宋_GB2312"/>
          <w:kern w:val="0"/>
          <w:sz w:val="32"/>
          <w:szCs w:val="32"/>
        </w:rPr>
      </w:pPr>
    </w:p>
    <w:p>
      <w:pPr>
        <w:spacing w:line="600" w:lineRule="exact"/>
        <w:ind w:left="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法定或委托代表人:</w:t>
      </w:r>
    </w:p>
    <w:p>
      <w:pPr>
        <w:spacing w:before="11" w:line="600" w:lineRule="exact"/>
        <w:rPr>
          <w:rFonts w:ascii="仿宋_GB2312" w:hAnsi="仿宋_GB2312" w:eastAsia="仿宋_GB2312" w:cs="仿宋_GB2312"/>
          <w:kern w:val="0"/>
          <w:sz w:val="32"/>
          <w:szCs w:val="32"/>
        </w:rPr>
      </w:pPr>
    </w:p>
    <w:p>
      <w:pPr>
        <w:spacing w:line="600" w:lineRule="exact"/>
        <w:ind w:left="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经办人：</w:t>
      </w:r>
    </w:p>
    <w:p>
      <w:pPr>
        <w:spacing w:before="11" w:line="600" w:lineRule="exact"/>
        <w:rPr>
          <w:rFonts w:ascii="仿宋_GB2312" w:hAnsi="仿宋_GB2312" w:eastAsia="仿宋_GB2312" w:cs="仿宋_GB2312"/>
          <w:kern w:val="0"/>
          <w:sz w:val="32"/>
          <w:szCs w:val="32"/>
        </w:rPr>
      </w:pPr>
    </w:p>
    <w:p>
      <w:pPr>
        <w:spacing w:line="600" w:lineRule="exact"/>
        <w:ind w:left="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签字日期：</w:t>
      </w:r>
    </w:p>
    <w:p>
      <w:pPr>
        <w:spacing w:line="600" w:lineRule="exact"/>
        <w:rPr>
          <w:rFonts w:ascii="仿宋_GB2312" w:hAnsi="仿宋_GB2312" w:eastAsia="仿宋_GB2312" w:cs="仿宋_GB2312"/>
          <w:kern w:val="0"/>
          <w:sz w:val="32"/>
          <w:szCs w:val="32"/>
        </w:rPr>
      </w:pPr>
    </w:p>
    <w:p>
      <w:pPr>
        <w:spacing w:before="172" w:line="600" w:lineRule="exact"/>
        <w:ind w:left="600"/>
        <w:rPr>
          <w:rFonts w:ascii="仿宋_GB2312" w:hAnsi="仿宋_GB2312" w:eastAsia="仿宋_GB2312" w:cs="仿宋_GB2312"/>
          <w:kern w:val="0"/>
          <w:sz w:val="32"/>
          <w:szCs w:val="32"/>
        </w:rPr>
      </w:pPr>
      <w:r>
        <w:rPr>
          <w:rFonts w:hint="eastAsia" w:ascii="仿宋_GB2312" w:hAnsi="仿宋_GB2312" w:eastAsia="仿宋_GB2312" w:cs="仿宋_GB2312"/>
          <w:spacing w:val="-40"/>
          <w:kern w:val="0"/>
          <w:sz w:val="32"/>
          <w:szCs w:val="32"/>
        </w:rPr>
        <w:t>乙方：</w:t>
      </w:r>
      <w:r>
        <w:rPr>
          <w:rFonts w:hint="eastAsia" w:ascii="仿宋_GB2312" w:hAnsi="仿宋_GB2312" w:eastAsia="仿宋_GB2312" w:cs="仿宋_GB2312"/>
          <w:kern w:val="0"/>
          <w:sz w:val="32"/>
          <w:szCs w:val="32"/>
        </w:rPr>
        <w:t>（盖章）</w:t>
      </w:r>
    </w:p>
    <w:p>
      <w:pPr>
        <w:spacing w:before="11" w:line="600" w:lineRule="exact"/>
        <w:rPr>
          <w:rFonts w:ascii="仿宋_GB2312" w:hAnsi="仿宋_GB2312" w:eastAsia="仿宋_GB2312" w:cs="仿宋_GB2312"/>
          <w:kern w:val="0"/>
          <w:sz w:val="32"/>
          <w:szCs w:val="32"/>
        </w:rPr>
      </w:pPr>
    </w:p>
    <w:p>
      <w:pPr>
        <w:spacing w:line="600" w:lineRule="exact"/>
        <w:ind w:left="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法定或委托代表人:</w:t>
      </w:r>
    </w:p>
    <w:p>
      <w:pPr>
        <w:spacing w:before="11" w:line="600" w:lineRule="exact"/>
        <w:rPr>
          <w:rFonts w:ascii="仿宋_GB2312" w:hAnsi="仿宋_GB2312" w:eastAsia="仿宋_GB2312" w:cs="仿宋_GB2312"/>
          <w:kern w:val="0"/>
          <w:sz w:val="32"/>
          <w:szCs w:val="32"/>
        </w:rPr>
      </w:pPr>
    </w:p>
    <w:p>
      <w:pPr>
        <w:spacing w:line="600" w:lineRule="exact"/>
        <w:ind w:left="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经办人：</w:t>
      </w:r>
    </w:p>
    <w:p>
      <w:pPr>
        <w:spacing w:before="12" w:line="600" w:lineRule="exact"/>
        <w:rPr>
          <w:rFonts w:ascii="仿宋_GB2312" w:hAnsi="仿宋_GB2312" w:eastAsia="仿宋_GB2312" w:cs="仿宋_GB2312"/>
          <w:kern w:val="0"/>
          <w:sz w:val="32"/>
          <w:szCs w:val="32"/>
        </w:rPr>
      </w:pPr>
    </w:p>
    <w:p>
      <w:pPr>
        <w:spacing w:line="600" w:lineRule="exact"/>
        <w:ind w:left="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签字日期：</w:t>
      </w:r>
    </w:p>
    <w:p>
      <w:pPr>
        <w:widowControl/>
        <w:jc w:val="left"/>
        <w:rPr>
          <w:rFonts w:eastAsiaTheme="minorEastAsia"/>
          <w:b/>
          <w:sz w:val="36"/>
          <w:szCs w:val="36"/>
        </w:rPr>
      </w:pPr>
    </w:p>
    <w:p>
      <w:pPr>
        <w:spacing w:line="360" w:lineRule="auto"/>
        <w:jc w:val="center"/>
        <w:outlineLvl w:val="0"/>
        <w:rPr>
          <w:rFonts w:eastAsiaTheme="minorEastAsia"/>
          <w:b/>
          <w:sz w:val="36"/>
          <w:szCs w:val="36"/>
        </w:rPr>
      </w:pPr>
      <w:r>
        <w:rPr>
          <w:rFonts w:eastAsiaTheme="minorEastAsia"/>
          <w:b/>
          <w:sz w:val="36"/>
          <w:szCs w:val="36"/>
        </w:rPr>
        <w:br w:type="page"/>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spacing w:line="360" w:lineRule="auto"/>
        <w:jc w:val="center"/>
        <w:outlineLvl w:val="0"/>
        <w:rPr>
          <w:rFonts w:eastAsiaTheme="minorEastAsia"/>
          <w:b/>
          <w:sz w:val="36"/>
          <w:szCs w:val="36"/>
        </w:rPr>
      </w:pPr>
      <w:bookmarkStart w:id="647" w:name="_Toc99301350"/>
      <w:r>
        <w:rPr>
          <w:rFonts w:eastAsiaTheme="minorEastAsia"/>
          <w:b/>
          <w:sz w:val="36"/>
          <w:szCs w:val="36"/>
        </w:rPr>
        <w:t>第六章   响应文件格式</w:t>
      </w:r>
      <w:bookmarkEnd w:id="647"/>
    </w:p>
    <w:p>
      <w:pPr>
        <w:widowControl/>
        <w:spacing w:line="360" w:lineRule="auto"/>
        <w:jc w:val="left"/>
        <w:rPr>
          <w:b/>
          <w:sz w:val="24"/>
        </w:rPr>
      </w:pPr>
    </w:p>
    <w:p>
      <w:pPr>
        <w:widowControl/>
        <w:spacing w:line="360" w:lineRule="auto"/>
        <w:jc w:val="left"/>
        <w:rPr>
          <w:b/>
          <w:sz w:val="24"/>
        </w:rPr>
      </w:pPr>
    </w:p>
    <w:p>
      <w:pPr>
        <w:tabs>
          <w:tab w:val="left" w:pos="900"/>
          <w:tab w:val="left" w:pos="1980"/>
        </w:tabs>
        <w:snapToGrid w:val="0"/>
        <w:spacing w:line="360" w:lineRule="auto"/>
        <w:ind w:left="142"/>
        <w:rPr>
          <w:rFonts w:eastAsiaTheme="minorEastAsia"/>
          <w:b/>
          <w:sz w:val="24"/>
        </w:rPr>
      </w:pPr>
      <w:r>
        <w:rPr>
          <w:rFonts w:eastAsiaTheme="minorEastAsia"/>
          <w:b/>
          <w:sz w:val="24"/>
        </w:rPr>
        <w:t>供应商编制文件须知</w:t>
      </w:r>
    </w:p>
    <w:p>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Theme="minorEastAsia"/>
          <w:sz w:val="24"/>
        </w:rPr>
      </w:pPr>
      <w:r>
        <w:rPr>
          <w:rFonts w:eastAsiaTheme="minorEastAsia"/>
          <w:sz w:val="24"/>
        </w:rPr>
        <w:t>2、</w:t>
      </w:r>
      <w:r>
        <w:rPr>
          <w:rFonts w:eastAsiaTheme="minorEastAsia"/>
          <w:kern w:val="0"/>
          <w:sz w:val="24"/>
        </w:rPr>
        <w:t>对于询价通知书中标记了“实质性格式”文件的，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kern w:val="0"/>
          <w:sz w:val="24"/>
        </w:rPr>
        <w:t>否则</w:t>
      </w:r>
      <w:r>
        <w:rPr>
          <w:rFonts w:eastAsiaTheme="minorEastAsia"/>
          <w:b/>
          <w:kern w:val="0"/>
          <w:sz w:val="24"/>
        </w:rPr>
        <w:t>响应无效</w:t>
      </w:r>
      <w:r>
        <w:rPr>
          <w:rFonts w:eastAsiaTheme="minorEastAsia"/>
          <w:kern w:val="0"/>
          <w:sz w:val="24"/>
        </w:rPr>
        <w:t>。未标记“实质性格式”的文件和询价通知书未提供格式的内容，可由供应商自行编写。</w:t>
      </w:r>
    </w:p>
    <w:p>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pPr>
        <w:widowControl/>
        <w:jc w:val="left"/>
        <w:rPr>
          <w:rFonts w:eastAsiaTheme="minorEastAsia"/>
          <w:sz w:val="24"/>
        </w:rPr>
      </w:pPr>
      <w:r>
        <w:rPr>
          <w:rFonts w:eastAsiaTheme="minorEastAsia"/>
          <w:sz w:val="24"/>
        </w:rPr>
        <w:br w:type="page"/>
      </w:r>
    </w:p>
    <w:p>
      <w:pPr>
        <w:rPr>
          <w:rFonts w:eastAsiaTheme="minorEastAsia"/>
          <w:b/>
          <w:sz w:val="24"/>
        </w:rPr>
      </w:pPr>
      <w:r>
        <w:rPr>
          <w:rFonts w:eastAsiaTheme="minorEastAsia"/>
          <w:b/>
          <w:spacing w:val="20"/>
          <w:sz w:val="24"/>
        </w:rPr>
        <w:t>响应文件</w:t>
      </w:r>
      <w:r>
        <w:rPr>
          <w:rFonts w:eastAsiaTheme="minorEastAsia"/>
          <w:b/>
          <w:sz w:val="24"/>
        </w:rPr>
        <w:t>封面（非实质性格式）</w:t>
      </w:r>
    </w:p>
    <w:p>
      <w:pPr>
        <w:jc w:val="center"/>
        <w:rPr>
          <w:rFonts w:eastAsiaTheme="minorEastAsia"/>
          <w:szCs w:val="21"/>
        </w:rPr>
      </w:pPr>
    </w:p>
    <w:p>
      <w:pPr>
        <w:jc w:val="center"/>
        <w:rPr>
          <w:rFonts w:eastAsiaTheme="minorEastAsia"/>
          <w:b/>
          <w:spacing w:val="60"/>
          <w:sz w:val="84"/>
          <w:szCs w:val="84"/>
        </w:rPr>
      </w:pPr>
      <w:r>
        <w:rPr>
          <w:rFonts w:eastAsiaTheme="minorEastAsia"/>
          <w:b/>
          <w:spacing w:val="60"/>
          <w:sz w:val="84"/>
          <w:szCs w:val="84"/>
        </w:rPr>
        <w:t>响 应 文 件</w:t>
      </w:r>
    </w:p>
    <w:p>
      <w:pPr>
        <w:ind w:firstLine="963" w:firstLineChars="150"/>
        <w:rPr>
          <w:rFonts w:eastAsiaTheme="minorEastAsia"/>
          <w:b/>
          <w:spacing w:val="60"/>
          <w:sz w:val="52"/>
          <w:szCs w:val="52"/>
        </w:rPr>
      </w:pP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r>
        <w:rPr>
          <w:rFonts w:eastAsiaTheme="minorEastAsia"/>
          <w:b/>
          <w:spacing w:val="20"/>
          <w:sz w:val="32"/>
          <w:szCs w:val="32"/>
        </w:rPr>
        <w:t>项目名称:</w:t>
      </w:r>
    </w:p>
    <w:p>
      <w:pPr>
        <w:ind w:firstLine="542" w:firstLineChars="150"/>
        <w:rPr>
          <w:rFonts w:eastAsiaTheme="minorEastAsia"/>
          <w:b/>
          <w:spacing w:val="20"/>
          <w:sz w:val="32"/>
          <w:szCs w:val="32"/>
        </w:rPr>
      </w:pPr>
      <w:r>
        <w:rPr>
          <w:rFonts w:eastAsiaTheme="minorEastAsia"/>
          <w:b/>
          <w:spacing w:val="20"/>
          <w:sz w:val="32"/>
          <w:szCs w:val="32"/>
        </w:rPr>
        <w:t>项目编号/包号：</w:t>
      </w: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pPr>
        <w:jc w:val="center"/>
        <w:rPr>
          <w:rFonts w:eastAsiaTheme="minorEastAsia"/>
          <w:b/>
          <w:sz w:val="32"/>
          <w:szCs w:val="32"/>
        </w:rPr>
      </w:pPr>
    </w:p>
    <w:p>
      <w:pPr>
        <w:rPr>
          <w:rFonts w:eastAsiaTheme="minorEastAsia"/>
          <w:b/>
        </w:rPr>
      </w:pPr>
      <w:r>
        <w:rPr>
          <w:rFonts w:eastAsiaTheme="minorEastAsia"/>
          <w:b/>
          <w:spacing w:val="20"/>
          <w:sz w:val="32"/>
          <w:szCs w:val="32"/>
        </w:rPr>
        <w:br w:type="page"/>
      </w:r>
    </w:p>
    <w:p>
      <w:pPr>
        <w:spacing w:line="360" w:lineRule="auto"/>
        <w:outlineLvl w:val="2"/>
        <w:rPr>
          <w:rFonts w:eastAsiaTheme="minorEastAsia"/>
          <w:color w:val="000000"/>
          <w:sz w:val="24"/>
          <w:szCs w:val="20"/>
        </w:rPr>
      </w:pPr>
      <w:r>
        <w:rPr>
          <w:rFonts w:eastAsiaTheme="minorEastAsia"/>
          <w:color w:val="000000"/>
          <w:sz w:val="24"/>
          <w:szCs w:val="20"/>
        </w:rPr>
        <w:t xml:space="preserve">1 </w:t>
      </w:r>
      <w:r>
        <w:rPr>
          <w:sz w:val="24"/>
        </w:rPr>
        <w:t>满足《中华人民共和国政府采购法》第二十二条规定及法律法规的其他规定</w:t>
      </w:r>
    </w:p>
    <w:p>
      <w:pPr>
        <w:spacing w:line="360" w:lineRule="auto"/>
        <w:outlineLvl w:val="2"/>
        <w:rPr>
          <w:rFonts w:eastAsiaTheme="minorEastAsia"/>
          <w:color w:val="000000"/>
          <w:sz w:val="24"/>
          <w:szCs w:val="20"/>
        </w:rPr>
      </w:pPr>
      <w:r>
        <w:rPr>
          <w:rFonts w:eastAsiaTheme="minorEastAsia"/>
          <w:color w:val="000000"/>
          <w:sz w:val="24"/>
          <w:szCs w:val="20"/>
        </w:rPr>
        <w:t>1-1营业执照等证明文件</w:t>
      </w:r>
    </w:p>
    <w:p>
      <w:pPr>
        <w:tabs>
          <w:tab w:val="left" w:pos="1080"/>
        </w:tabs>
        <w:snapToGrid w:val="0"/>
        <w:rPr>
          <w:rFonts w:eastAsiaTheme="minorEastAsia"/>
          <w:sz w:val="24"/>
        </w:rPr>
      </w:pPr>
    </w:p>
    <w:p>
      <w:pPr>
        <w:widowControl/>
        <w:jc w:val="left"/>
        <w:rPr>
          <w:rFonts w:eastAsiaTheme="minorEastAsia"/>
          <w:color w:val="000000"/>
          <w:sz w:val="24"/>
          <w:szCs w:val="20"/>
        </w:rPr>
      </w:pPr>
      <w:r>
        <w:rPr>
          <w:rFonts w:eastAsiaTheme="minorEastAsia"/>
          <w:color w:val="000000"/>
          <w:sz w:val="24"/>
        </w:rPr>
        <w:br w:type="page"/>
      </w:r>
    </w:p>
    <w:p>
      <w:pPr>
        <w:pStyle w:val="10"/>
        <w:rPr>
          <w:rFonts w:ascii="Times New Roman" w:eastAsiaTheme="minorEastAsia"/>
          <w:b w:val="0"/>
          <w:bCs/>
          <w:color w:val="000000"/>
          <w:u w:val="none"/>
        </w:rPr>
      </w:pPr>
      <w:r>
        <w:rPr>
          <w:rFonts w:ascii="Times New Roman" w:eastAsiaTheme="minorEastAsia"/>
          <w:b w:val="0"/>
          <w:color w:val="000000"/>
          <w:u w:val="none"/>
        </w:rPr>
        <w:t>1-2 供应商资格声明书（实质性格式）</w:t>
      </w:r>
    </w:p>
    <w:p>
      <w:pPr>
        <w:jc w:val="center"/>
        <w:rPr>
          <w:rFonts w:eastAsiaTheme="minorEastAsia"/>
          <w:b/>
          <w:color w:val="000000"/>
          <w:szCs w:val="20"/>
        </w:rPr>
      </w:pPr>
      <w:r>
        <w:rPr>
          <w:rFonts w:hint="eastAsia"/>
          <w:b/>
          <w:color w:val="000000"/>
          <w:sz w:val="36"/>
          <w:szCs w:val="36"/>
        </w:rPr>
        <w:t>供应商资格声明书</w:t>
      </w:r>
    </w:p>
    <w:p>
      <w:pPr>
        <w:tabs>
          <w:tab w:val="left" w:pos="5580"/>
        </w:tabs>
        <w:spacing w:line="360" w:lineRule="auto"/>
        <w:rPr>
          <w:rFonts w:eastAsiaTheme="minorEastAsia"/>
          <w:sz w:val="24"/>
        </w:rPr>
      </w:pPr>
    </w:p>
    <w:p>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pPr>
        <w:spacing w:line="360" w:lineRule="auto"/>
        <w:ind w:firstLine="480" w:firstLineChars="200"/>
        <w:rPr>
          <w:rFonts w:eastAsiaTheme="minorEastAsia"/>
          <w:sz w:val="24"/>
        </w:rPr>
      </w:pPr>
      <w:r>
        <w:rPr>
          <w:rFonts w:eastAsiaTheme="minorEastAsia"/>
          <w:sz w:val="24"/>
        </w:rPr>
        <w:t>在参与本次项目响应中，我单位承诺：</w:t>
      </w:r>
    </w:p>
    <w:p>
      <w:pPr>
        <w:numPr>
          <w:ilvl w:val="0"/>
          <w:numId w:val="20"/>
        </w:numPr>
        <w:spacing w:line="360" w:lineRule="auto"/>
        <w:ind w:left="1134"/>
        <w:rPr>
          <w:rFonts w:eastAsiaTheme="minorEastAsia"/>
          <w:sz w:val="24"/>
          <w:szCs w:val="22"/>
        </w:rPr>
      </w:pPr>
      <w:r>
        <w:rPr>
          <w:rFonts w:eastAsiaTheme="minorEastAsia"/>
          <w:sz w:val="24"/>
          <w:szCs w:val="22"/>
        </w:rPr>
        <w:t>具有良好的商业信誉和健全的财务会计制度；</w:t>
      </w:r>
    </w:p>
    <w:p>
      <w:pPr>
        <w:numPr>
          <w:ilvl w:val="0"/>
          <w:numId w:val="20"/>
        </w:numPr>
        <w:spacing w:line="360" w:lineRule="auto"/>
        <w:ind w:left="1134"/>
        <w:rPr>
          <w:rFonts w:eastAsiaTheme="minorEastAsia"/>
          <w:sz w:val="24"/>
          <w:szCs w:val="22"/>
        </w:rPr>
      </w:pPr>
      <w:r>
        <w:rPr>
          <w:rFonts w:eastAsiaTheme="minorEastAsia"/>
          <w:sz w:val="24"/>
          <w:szCs w:val="22"/>
        </w:rPr>
        <w:t>具有履行合同所必需的设备和专业技术能力；</w:t>
      </w:r>
    </w:p>
    <w:p>
      <w:pPr>
        <w:numPr>
          <w:ilvl w:val="0"/>
          <w:numId w:val="20"/>
        </w:numPr>
        <w:spacing w:line="360" w:lineRule="auto"/>
        <w:ind w:left="1134"/>
        <w:rPr>
          <w:rFonts w:eastAsiaTheme="minorEastAsia"/>
          <w:sz w:val="24"/>
          <w:szCs w:val="22"/>
        </w:rPr>
      </w:pPr>
      <w:r>
        <w:rPr>
          <w:rFonts w:eastAsiaTheme="minorEastAsia"/>
          <w:sz w:val="24"/>
          <w:szCs w:val="22"/>
        </w:rPr>
        <w:t>有依法缴纳税收和社会保障资金的良好记录；</w:t>
      </w:r>
    </w:p>
    <w:p>
      <w:pPr>
        <w:numPr>
          <w:ilvl w:val="0"/>
          <w:numId w:val="20"/>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0"/>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pPr>
        <w:numPr>
          <w:ilvl w:val="0"/>
          <w:numId w:val="20"/>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序号</w:t>
            </w:r>
          </w:p>
        </w:tc>
        <w:tc>
          <w:tcPr>
            <w:tcW w:w="4574" w:type="dxa"/>
            <w:vAlign w:val="center"/>
          </w:tcPr>
          <w:p>
            <w:pPr>
              <w:jc w:val="center"/>
              <w:rPr>
                <w:rFonts w:eastAsiaTheme="minorEastAsia"/>
                <w:sz w:val="24"/>
              </w:rPr>
            </w:pPr>
            <w:r>
              <w:rPr>
                <w:rFonts w:eastAsiaTheme="minorEastAsia"/>
                <w:sz w:val="24"/>
              </w:rPr>
              <w:t>单位名称</w:t>
            </w:r>
          </w:p>
        </w:tc>
        <w:tc>
          <w:tcPr>
            <w:tcW w:w="2976" w:type="dxa"/>
            <w:vAlign w:val="center"/>
          </w:tcPr>
          <w:p>
            <w:pPr>
              <w:jc w:val="center"/>
              <w:rPr>
                <w:rFonts w:eastAsiaTheme="minorEastAsia"/>
                <w:sz w:val="24"/>
              </w:rPr>
            </w:pPr>
            <w:r>
              <w:rPr>
                <w:rFonts w:eastAsiaTheme="minorEastAsia"/>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1</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2</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bl>
    <w:p>
      <w:pPr>
        <w:rPr>
          <w:rFonts w:eastAsiaTheme="minorEastAsia"/>
        </w:rPr>
      </w:pPr>
    </w:p>
    <w:p>
      <w:pPr>
        <w:ind w:firstLine="480" w:firstLineChars="200"/>
        <w:rPr>
          <w:rFonts w:eastAsiaTheme="minorEastAsia"/>
          <w:sz w:val="24"/>
          <w:szCs w:val="22"/>
        </w:rPr>
      </w:pPr>
      <w:r>
        <w:rPr>
          <w:rFonts w:eastAsiaTheme="minorEastAsia"/>
          <w:sz w:val="24"/>
        </w:rPr>
        <w:t>上述声明真实有效，否则我方负全部责任。</w:t>
      </w:r>
    </w:p>
    <w:p>
      <w:pPr>
        <w:spacing w:line="360" w:lineRule="auto"/>
        <w:rPr>
          <w:rFonts w:eastAsiaTheme="minorEastAsia"/>
          <w:sz w:val="24"/>
        </w:rPr>
      </w:pPr>
    </w:p>
    <w:p>
      <w:pPr>
        <w:spacing w:line="360" w:lineRule="auto"/>
        <w:rPr>
          <w:rFonts w:eastAsiaTheme="minorEastAsia"/>
          <w:sz w:val="24"/>
        </w:rPr>
      </w:pPr>
    </w:p>
    <w:p>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    ____________</w:t>
      </w:r>
    </w:p>
    <w:p>
      <w:pPr>
        <w:spacing w:line="360" w:lineRule="auto"/>
        <w:ind w:right="360" w:firstLine="480"/>
        <w:jc w:val="right"/>
        <w:rPr>
          <w:rFonts w:eastAsiaTheme="minorEastAsia"/>
          <w:color w:val="000000"/>
          <w:sz w:val="24"/>
        </w:rPr>
      </w:pPr>
      <w:r>
        <w:rPr>
          <w:rFonts w:eastAsiaTheme="minorEastAsia"/>
          <w:color w:val="000000"/>
          <w:sz w:val="24"/>
          <w:szCs w:val="20"/>
        </w:rPr>
        <w:t xml:space="preserve">日期：_____年______月______日   </w:t>
      </w:r>
    </w:p>
    <w:p>
      <w:pPr>
        <w:autoSpaceDE w:val="0"/>
        <w:autoSpaceDN w:val="0"/>
        <w:adjustRightInd w:val="0"/>
        <w:snapToGrid w:val="0"/>
        <w:spacing w:before="25" w:after="25" w:line="360" w:lineRule="auto"/>
        <w:jc w:val="right"/>
        <w:rPr>
          <w:rFonts w:eastAsiaTheme="minorEastAsia"/>
          <w:color w:val="000000"/>
          <w:sz w:val="24"/>
          <w:lang w:val="zh-CN"/>
        </w:rPr>
      </w:pPr>
    </w:p>
    <w:p>
      <w:pPr>
        <w:spacing w:line="360" w:lineRule="auto"/>
        <w:rPr>
          <w:rFonts w:eastAsiaTheme="minorEastAsia"/>
          <w:sz w:val="24"/>
        </w:rPr>
      </w:pPr>
    </w:p>
    <w:p>
      <w:pPr>
        <w:spacing w:line="360" w:lineRule="auto"/>
        <w:rPr>
          <w:rFonts w:eastAsiaTheme="minorEastAsia"/>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rFonts w:eastAsiaTheme="minorEastAsia"/>
          <w:sz w:val="24"/>
        </w:rPr>
        <w:sectPr>
          <w:headerReference r:id="rId9" w:type="first"/>
          <w:footerReference r:id="rId11" w:type="first"/>
          <w:headerReference r:id="rId8" w:type="even"/>
          <w:footerReference r:id="rId10" w:type="even"/>
          <w:pgSz w:w="11907" w:h="16840"/>
          <w:pgMar w:top="1440" w:right="1304" w:bottom="1440" w:left="1304" w:header="851" w:footer="851" w:gutter="0"/>
          <w:cols w:space="720" w:num="1"/>
          <w:docGrid w:linePitch="462" w:charSpace="0"/>
        </w:sectPr>
      </w:pPr>
    </w:p>
    <w:p>
      <w:pPr>
        <w:spacing w:line="360" w:lineRule="auto"/>
        <w:outlineLvl w:val="2"/>
        <w:rPr>
          <w:rFonts w:eastAsiaTheme="minorEastAsia"/>
          <w:color w:val="000000"/>
          <w:sz w:val="24"/>
          <w:szCs w:val="20"/>
        </w:rPr>
      </w:pPr>
      <w:r>
        <w:rPr>
          <w:rFonts w:eastAsiaTheme="minorEastAsia"/>
          <w:color w:val="000000"/>
          <w:sz w:val="24"/>
          <w:szCs w:val="20"/>
        </w:rPr>
        <w:t>2 落实政府采购政策需满足的资格要求</w:t>
      </w:r>
    </w:p>
    <w:p>
      <w:pPr>
        <w:spacing w:line="360" w:lineRule="auto"/>
        <w:outlineLvl w:val="2"/>
        <w:rPr>
          <w:rFonts w:eastAsiaTheme="minorEastAsia"/>
          <w:color w:val="000000"/>
          <w:sz w:val="24"/>
          <w:szCs w:val="20"/>
        </w:rPr>
      </w:pPr>
      <w:r>
        <w:rPr>
          <w:rFonts w:eastAsiaTheme="minorEastAsia"/>
          <w:color w:val="000000"/>
          <w:sz w:val="24"/>
          <w:szCs w:val="20"/>
        </w:rPr>
        <w:t>2-1 中小企业声明函</w:t>
      </w:r>
    </w:p>
    <w:p>
      <w:pPr>
        <w:tabs>
          <w:tab w:val="left" w:pos="5580"/>
        </w:tabs>
        <w:spacing w:line="360" w:lineRule="auto"/>
        <w:rPr>
          <w:rFonts w:eastAsiaTheme="minorEastAsia"/>
          <w:sz w:val="24"/>
        </w:rPr>
      </w:pP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rFonts w:eastAsiaTheme="minorEastAsia"/>
          <w:color w:val="000000" w:themeColor="text1"/>
          <w:sz w:val="24"/>
          <w14:textFill>
            <w14:solidFill>
              <w14:schemeClr w14:val="tx1"/>
            </w14:solidFill>
          </w14:textFill>
        </w:rPr>
        <w:t>否则不得享受相关中小企业扶持政策</w:t>
      </w:r>
      <w:r>
        <w:rPr>
          <w:sz w:val="24"/>
        </w:rPr>
        <w:t>。</w:t>
      </w:r>
    </w:p>
    <w:p>
      <w:pPr>
        <w:tabs>
          <w:tab w:val="left" w:pos="5580"/>
        </w:tabs>
        <w:spacing w:line="360" w:lineRule="auto"/>
        <w:rPr>
          <w:rFonts w:eastAsiaTheme="minorEastAsia"/>
          <w:sz w:val="24"/>
        </w:rPr>
      </w:pPr>
      <w:r>
        <w:rPr>
          <w:rFonts w:eastAsiaTheme="minorEastAsia"/>
          <w:sz w:val="24"/>
        </w:rPr>
        <w:t>（2）如本项目（包）专门面向中小/小微企业采购，须提供《中小企业声明函》</w:t>
      </w:r>
      <w:r>
        <w:rPr>
          <w:rFonts w:eastAsiaTheme="minorEastAsia"/>
          <w:color w:val="000000"/>
          <w:sz w:val="24"/>
          <w:szCs w:val="20"/>
        </w:rPr>
        <w:t>（实质性格式）</w:t>
      </w:r>
      <w:r>
        <w:rPr>
          <w:rFonts w:eastAsiaTheme="minorEastAsia"/>
          <w:sz w:val="24"/>
        </w:rPr>
        <w:t>。</w:t>
      </w:r>
    </w:p>
    <w:p>
      <w:pPr>
        <w:tabs>
          <w:tab w:val="left" w:pos="5580"/>
        </w:tabs>
        <w:spacing w:line="360" w:lineRule="auto"/>
        <w:rPr>
          <w:rFonts w:eastAsiaTheme="minorEastAsia"/>
          <w:sz w:val="24"/>
        </w:rPr>
      </w:pPr>
      <w:r>
        <w:rPr>
          <w:rFonts w:eastAsiaTheme="minor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rFonts w:eastAsiaTheme="minorEastAsia"/>
          <w:sz w:val="24"/>
        </w:rPr>
      </w:pPr>
      <w:r>
        <w:rPr>
          <w:rFonts w:eastAsiaTheme="minorEastAsia"/>
          <w:sz w:val="24"/>
        </w:rPr>
        <w:t>（4）其它</w:t>
      </w:r>
    </w:p>
    <w:p>
      <w:pPr>
        <w:tabs>
          <w:tab w:val="left" w:pos="5580"/>
        </w:tabs>
        <w:spacing w:line="360" w:lineRule="auto"/>
        <w:rPr>
          <w:rFonts w:eastAsiaTheme="minorEastAsia"/>
          <w:sz w:val="24"/>
        </w:rPr>
      </w:pPr>
      <w:r>
        <w:rPr>
          <w:rFonts w:eastAsiaTheme="minorEastAsia"/>
          <w:sz w:val="24"/>
        </w:rPr>
        <w:t>1）中小企业参加政府采购活动，应当出具此格式文件。《中小企业声明函》由参加政府采购活动的供应商出具。联合体</w:t>
      </w:r>
      <w:r>
        <w:rPr>
          <w:rFonts w:hint="eastAsia" w:eastAsiaTheme="minorEastAsia"/>
          <w:sz w:val="24"/>
        </w:rPr>
        <w:t>响应</w:t>
      </w:r>
      <w:r>
        <w:rPr>
          <w:rFonts w:eastAsiaTheme="minorEastAsia"/>
          <w:sz w:val="24"/>
        </w:rPr>
        <w:t>的，《中小企业声明函》由牵头人出具。</w:t>
      </w:r>
    </w:p>
    <w:p>
      <w:pPr>
        <w:tabs>
          <w:tab w:val="left" w:pos="5580"/>
        </w:tabs>
        <w:spacing w:line="360" w:lineRule="auto"/>
        <w:rPr>
          <w:rFonts w:eastAsiaTheme="minorEastAsia"/>
          <w:sz w:val="24"/>
        </w:rPr>
      </w:pPr>
      <w:r>
        <w:rPr>
          <w:rFonts w:eastAsiaTheme="minor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rFonts w:eastAsiaTheme="minorEastAsia"/>
          <w:sz w:val="24"/>
        </w:rPr>
      </w:pPr>
      <w:r>
        <w:rPr>
          <w:rFonts w:eastAsiaTheme="minorEastAsia"/>
          <w:sz w:val="24"/>
        </w:rPr>
        <w:t>3）对于多标的的采购项目，供应商应充分、准确地了解所投产品制造企业信息。对相关情况了解不清楚的，不建议填报本声明函。</w:t>
      </w:r>
    </w:p>
    <w:p>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rFonts w:eastAsiaTheme="minorEastAsia"/>
          <w:sz w:val="24"/>
        </w:rPr>
      </w:pPr>
    </w:p>
    <w:p>
      <w:pPr>
        <w:widowControl/>
        <w:jc w:val="left"/>
        <w:rPr>
          <w:rFonts w:eastAsiaTheme="minorEastAsia"/>
          <w:sz w:val="24"/>
        </w:rPr>
      </w:pPr>
      <w:r>
        <w:rPr>
          <w:rFonts w:eastAsiaTheme="minorEastAsia"/>
          <w:sz w:val="24"/>
        </w:rPr>
        <w:br w:type="page"/>
      </w:r>
    </w:p>
    <w:p>
      <w:pPr>
        <w:jc w:val="center"/>
        <w:rPr>
          <w:b/>
          <w:color w:val="000000"/>
          <w:sz w:val="36"/>
          <w:szCs w:val="36"/>
        </w:rPr>
      </w:pPr>
      <w:r>
        <w:rPr>
          <w:rFonts w:hint="eastAsia"/>
          <w:b/>
          <w:color w:val="000000"/>
          <w:sz w:val="36"/>
          <w:szCs w:val="36"/>
        </w:rPr>
        <w:t>中小企业声明函（货物）格式</w:t>
      </w:r>
    </w:p>
    <w:p>
      <w:pPr>
        <w:jc w:val="center"/>
        <w:rPr>
          <w:color w:val="000000"/>
          <w:sz w:val="36"/>
          <w:szCs w:val="36"/>
        </w:rPr>
      </w:pP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（标的名称）</w:t>
      </w:r>
      <w:r>
        <w:rPr>
          <w:rFonts w:eastAsiaTheme="minorEastAsia"/>
          <w:spacing w:val="6"/>
          <w:sz w:val="24"/>
        </w:rPr>
        <w:t>，属于</w:t>
      </w:r>
      <w:r>
        <w:rPr>
          <w:rFonts w:eastAsiaTheme="minorEastAsia"/>
          <w:spacing w:val="6"/>
          <w:sz w:val="24"/>
          <w:u w:val="single"/>
        </w:rPr>
        <w:t>（询价通知书中明确的所属行业）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，属于（中型企业、小型企业、微型企业）；</w:t>
      </w:r>
    </w:p>
    <w:p>
      <w:pPr>
        <w:spacing w:line="360" w:lineRule="auto"/>
        <w:ind w:firstLine="504"/>
        <w:rPr>
          <w:rFonts w:eastAsiaTheme="minorEastAsia"/>
          <w:spacing w:val="6"/>
          <w:sz w:val="24"/>
        </w:rPr>
      </w:pPr>
      <w:r>
        <w:rPr>
          <w:rFonts w:eastAsiaTheme="minorEastAsia"/>
          <w:spacing w:val="6"/>
          <w:sz w:val="24"/>
        </w:rPr>
        <w:t>2.</w:t>
      </w:r>
      <w:r>
        <w:rPr>
          <w:rFonts w:eastAsiaTheme="minorEastAsia"/>
          <w:spacing w:val="6"/>
          <w:sz w:val="24"/>
          <w:u w:val="single"/>
        </w:rPr>
        <w:t>（标的名称）</w:t>
      </w:r>
      <w:r>
        <w:rPr>
          <w:rFonts w:eastAsiaTheme="minorEastAsia"/>
          <w:spacing w:val="6"/>
          <w:sz w:val="24"/>
        </w:rPr>
        <w:t>，属于</w:t>
      </w:r>
      <w:r>
        <w:rPr>
          <w:rFonts w:eastAsiaTheme="minorEastAsia"/>
          <w:spacing w:val="6"/>
          <w:sz w:val="24"/>
          <w:u w:val="single"/>
        </w:rPr>
        <w:t>（询价通知书中明确的所属行业）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，从业人员______人，营业收入为______万元，资产总额为______万元，属于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firstLine="504"/>
        <w:rPr>
          <w:rFonts w:eastAsiaTheme="minorEastAsia"/>
          <w:spacing w:val="6"/>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企业名称（盖章）：________</w:t>
      </w:r>
    </w:p>
    <w:p>
      <w:pPr>
        <w:spacing w:line="360" w:lineRule="auto"/>
        <w:ind w:right="360" w:firstLine="480"/>
        <w:jc w:val="right"/>
        <w:rPr>
          <w:rFonts w:eastAsiaTheme="minorEastAsia"/>
          <w:color w:val="000000"/>
          <w:sz w:val="24"/>
        </w:rPr>
      </w:pPr>
      <w:r>
        <w:rPr>
          <w:rFonts w:eastAsiaTheme="minorEastAsia"/>
          <w:color w:val="000000"/>
          <w:sz w:val="24"/>
        </w:rPr>
        <w:t>日 期：________</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eastAsiaTheme="minorEastAsia"/>
          <w:sz w:val="24"/>
        </w:rPr>
      </w:pPr>
    </w:p>
    <w:p>
      <w:pPr>
        <w:spacing w:line="360" w:lineRule="auto"/>
        <w:rPr>
          <w:rFonts w:eastAsiaTheme="minorEastAsia"/>
          <w:color w:val="000000"/>
          <w:sz w:val="24"/>
        </w:rPr>
      </w:pPr>
    </w:p>
    <w:p>
      <w:pPr>
        <w:spacing w:before="240" w:beforeLines="100" w:after="240" w:afterLines="100" w:line="360" w:lineRule="auto"/>
        <w:jc w:val="center"/>
        <w:rPr>
          <w:rFonts w:eastAsiaTheme="minorEastAsia"/>
          <w:color w:val="000000"/>
          <w:sz w:val="24"/>
          <w:szCs w:val="20"/>
        </w:rPr>
      </w:pPr>
      <w:r>
        <w:rPr>
          <w:rFonts w:eastAsiaTheme="minorEastAsia"/>
          <w:color w:val="000000"/>
          <w:sz w:val="24"/>
        </w:rPr>
        <w:br w:type="page"/>
      </w:r>
    </w:p>
    <w:p>
      <w:pPr>
        <w:jc w:val="center"/>
        <w:rPr>
          <w:b/>
          <w:color w:val="000000"/>
          <w:sz w:val="36"/>
          <w:szCs w:val="36"/>
        </w:rPr>
      </w:pPr>
      <w:r>
        <w:rPr>
          <w:rFonts w:hint="eastAsia"/>
          <w:b/>
          <w:color w:val="000000"/>
          <w:sz w:val="36"/>
          <w:szCs w:val="36"/>
        </w:rPr>
        <w:t>残疾人福利性单位声明函格式</w:t>
      </w:r>
      <w:r>
        <w:rPr>
          <w:b/>
          <w:color w:val="000000"/>
          <w:sz w:val="36"/>
          <w:szCs w:val="36"/>
        </w:rPr>
        <w:t xml:space="preserve">       </w:t>
      </w:r>
    </w:p>
    <w:p>
      <w:pPr>
        <w:jc w:val="center"/>
        <w:rPr>
          <w:color w:val="000000"/>
          <w:sz w:val="36"/>
          <w:szCs w:val="36"/>
        </w:rPr>
      </w:pPr>
    </w:p>
    <w:p>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（请进行勾选）</w:t>
      </w:r>
      <w:r>
        <w:rPr>
          <w:rFonts w:eastAsiaTheme="minorEastAsia"/>
          <w:spacing w:val="6"/>
          <w:sz w:val="24"/>
        </w:rPr>
        <w:t>：</w:t>
      </w:r>
    </w:p>
    <w:p>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pPr>
        <w:spacing w:line="588" w:lineRule="exact"/>
        <w:ind w:firstLine="504" w:firstLineChars="200"/>
        <w:rPr>
          <w:rFonts w:eastAsiaTheme="minorEastAsia"/>
          <w:spacing w:val="6"/>
          <w:sz w:val="24"/>
        </w:rPr>
      </w:pPr>
    </w:p>
    <w:p>
      <w:pPr>
        <w:spacing w:line="588" w:lineRule="exact"/>
        <w:ind w:firstLine="504" w:firstLineChars="200"/>
        <w:rPr>
          <w:rFonts w:eastAsiaTheme="minorEastAsia"/>
          <w:spacing w:val="6"/>
          <w:sz w:val="24"/>
        </w:rPr>
      </w:pPr>
    </w:p>
    <w:p>
      <w:pPr>
        <w:tabs>
          <w:tab w:val="left" w:pos="4860"/>
        </w:tabs>
        <w:spacing w:line="588" w:lineRule="exact"/>
        <w:ind w:right="1560" w:firstLine="504" w:firstLineChars="200"/>
        <w:jc w:val="center"/>
        <w:rPr>
          <w:rFonts w:eastAsiaTheme="minorEastAsia"/>
          <w:spacing w:val="6"/>
          <w:sz w:val="24"/>
        </w:rPr>
      </w:pPr>
      <w:r>
        <w:rPr>
          <w:rFonts w:eastAsiaTheme="minorEastAsia"/>
          <w:spacing w:val="6"/>
          <w:sz w:val="24"/>
        </w:rPr>
        <w:t xml:space="preserve">               单位名称（盖章）：</w:t>
      </w:r>
    </w:p>
    <w:p>
      <w:pPr>
        <w:tabs>
          <w:tab w:val="left" w:pos="4860"/>
        </w:tabs>
        <w:spacing w:line="588" w:lineRule="exact"/>
        <w:ind w:right="1560" w:firstLine="504" w:firstLineChars="200"/>
        <w:jc w:val="center"/>
        <w:rPr>
          <w:rFonts w:eastAsiaTheme="minorEastAsia"/>
          <w:spacing w:val="6"/>
          <w:sz w:val="24"/>
        </w:rPr>
      </w:pPr>
      <w:r>
        <w:rPr>
          <w:rFonts w:eastAsiaTheme="minorEastAsia"/>
          <w:spacing w:val="6"/>
          <w:sz w:val="24"/>
        </w:rPr>
        <w:t xml:space="preserve">       日  期：</w:t>
      </w:r>
    </w:p>
    <w:p>
      <w:pPr>
        <w:widowControl/>
        <w:jc w:val="left"/>
        <w:rPr>
          <w:rFonts w:eastAsiaTheme="minorEastAsia"/>
          <w:color w:val="000000"/>
          <w:sz w:val="24"/>
          <w:szCs w:val="20"/>
        </w:rPr>
      </w:pPr>
      <w:r>
        <w:rPr>
          <w:rFonts w:eastAsiaTheme="minorEastAsia"/>
          <w:color w:val="000000"/>
          <w:sz w:val="24"/>
          <w:szCs w:val="20"/>
        </w:rPr>
        <w:br w:type="page"/>
      </w:r>
    </w:p>
    <w:p>
      <w:pPr>
        <w:spacing w:line="360" w:lineRule="auto"/>
        <w:outlineLvl w:val="2"/>
        <w:rPr>
          <w:rFonts w:eastAsiaTheme="minorEastAsia"/>
          <w:color w:val="000000"/>
          <w:sz w:val="24"/>
          <w:szCs w:val="20"/>
        </w:rPr>
      </w:pPr>
      <w:r>
        <w:rPr>
          <w:rFonts w:eastAsiaTheme="minorEastAsia"/>
          <w:color w:val="000000"/>
          <w:sz w:val="24"/>
          <w:szCs w:val="20"/>
        </w:rPr>
        <w:t>2-</w:t>
      </w:r>
      <w:r>
        <w:rPr>
          <w:rFonts w:hint="eastAsia" w:eastAsiaTheme="minorEastAsia"/>
          <w:color w:val="000000"/>
          <w:sz w:val="24"/>
          <w:szCs w:val="20"/>
        </w:rPr>
        <w:t>2</w:t>
      </w:r>
      <w:r>
        <w:rPr>
          <w:sz w:val="24"/>
        </w:rPr>
        <w:t>其它落实政府采购政策的资格要求</w:t>
      </w:r>
      <w:r>
        <w:rPr>
          <w:rFonts w:eastAsiaTheme="minorEastAsia"/>
          <w:color w:val="000000"/>
          <w:sz w:val="24"/>
          <w:szCs w:val="20"/>
        </w:rPr>
        <w:t>（如有）</w:t>
      </w:r>
    </w:p>
    <w:p>
      <w:pPr>
        <w:widowControl/>
        <w:jc w:val="left"/>
        <w:rPr>
          <w:rFonts w:eastAsiaTheme="minorEastAsia"/>
          <w:sz w:val="24"/>
        </w:rPr>
      </w:pPr>
    </w:p>
    <w:p>
      <w:pPr>
        <w:widowControl/>
        <w:jc w:val="left"/>
        <w:rPr>
          <w:rFonts w:eastAsiaTheme="minorEastAsia"/>
          <w:sz w:val="24"/>
        </w:rPr>
      </w:pPr>
      <w:r>
        <w:rPr>
          <w:rFonts w:eastAsiaTheme="minorEastAsia"/>
          <w:sz w:val="24"/>
        </w:rPr>
        <w:br w:type="page"/>
      </w:r>
    </w:p>
    <w:p>
      <w:pPr>
        <w:spacing w:line="360" w:lineRule="auto"/>
        <w:outlineLvl w:val="2"/>
        <w:rPr>
          <w:rFonts w:eastAsiaTheme="minorEastAsia"/>
          <w:color w:val="000000"/>
          <w:sz w:val="24"/>
          <w:szCs w:val="20"/>
        </w:rPr>
      </w:pPr>
      <w:r>
        <w:rPr>
          <w:rFonts w:eastAsiaTheme="minorEastAsia"/>
          <w:color w:val="000000"/>
          <w:sz w:val="24"/>
          <w:szCs w:val="20"/>
        </w:rPr>
        <w:t xml:space="preserve">3 </w:t>
      </w:r>
      <w:r>
        <w:rPr>
          <w:rFonts w:eastAsiaTheme="minorEastAsia"/>
          <w:sz w:val="24"/>
        </w:rPr>
        <w:t>本项目的特定资格要求</w:t>
      </w:r>
      <w:r>
        <w:rPr>
          <w:color w:val="000000"/>
          <w:sz w:val="24"/>
          <w:szCs w:val="20"/>
        </w:rPr>
        <w:t>（如有）</w:t>
      </w:r>
    </w:p>
    <w:p>
      <w:pPr>
        <w:widowControl/>
        <w:jc w:val="left"/>
        <w:rPr>
          <w:rFonts w:eastAsiaTheme="minorEastAsia"/>
          <w:sz w:val="24"/>
          <w:szCs w:val="20"/>
        </w:rPr>
      </w:pPr>
      <w:r>
        <w:rPr>
          <w:rFonts w:eastAsiaTheme="minorEastAsia"/>
          <w:sz w:val="24"/>
        </w:rPr>
        <w:br w:type="page"/>
      </w:r>
    </w:p>
    <w:p>
      <w:pPr>
        <w:widowControl/>
        <w:jc w:val="left"/>
        <w:rPr>
          <w:rFonts w:eastAsiaTheme="minorEastAsia"/>
          <w:b/>
          <w:sz w:val="24"/>
        </w:rPr>
      </w:pPr>
    </w:p>
    <w:p>
      <w:pPr>
        <w:widowControl/>
        <w:jc w:val="left"/>
        <w:rPr>
          <w:rFonts w:eastAsiaTheme="minorEastAsia"/>
          <w:kern w:val="0"/>
          <w:sz w:val="24"/>
          <w:szCs w:val="20"/>
        </w:rPr>
      </w:pPr>
    </w:p>
    <w:p>
      <w:pPr>
        <w:spacing w:line="360" w:lineRule="auto"/>
        <w:outlineLvl w:val="2"/>
        <w:rPr>
          <w:rFonts w:eastAsiaTheme="minorEastAsia"/>
          <w:color w:val="000000"/>
          <w:sz w:val="24"/>
          <w:szCs w:val="20"/>
        </w:rPr>
      </w:pPr>
      <w:bookmarkStart w:id="648" w:name="_Hlt520343392"/>
      <w:bookmarkEnd w:id="648"/>
      <w:bookmarkStart w:id="649" w:name="_Hlt520271212"/>
      <w:bookmarkEnd w:id="649"/>
      <w:bookmarkStart w:id="650" w:name="_Hlt520274407"/>
      <w:bookmarkEnd w:id="650"/>
      <w:bookmarkStart w:id="651" w:name="_Hlt520350918"/>
      <w:bookmarkEnd w:id="651"/>
      <w:bookmarkStart w:id="652" w:name="_Hlt520274393"/>
      <w:bookmarkEnd w:id="652"/>
      <w:bookmarkStart w:id="653" w:name="_Hlt520274065"/>
      <w:bookmarkEnd w:id="653"/>
      <w:bookmarkStart w:id="654" w:name="_Hlt520274121"/>
      <w:bookmarkEnd w:id="654"/>
      <w:bookmarkStart w:id="655" w:name="_Hlt520273711"/>
      <w:bookmarkEnd w:id="655"/>
      <w:bookmarkStart w:id="656" w:name="_Hlt520343000"/>
      <w:bookmarkEnd w:id="656"/>
      <w:bookmarkStart w:id="657" w:name="_Hlt520355504"/>
      <w:bookmarkEnd w:id="657"/>
      <w:bookmarkStart w:id="658" w:name="_Toc480942349"/>
      <w:bookmarkStart w:id="659" w:name="_Ref467988698"/>
      <w:bookmarkStart w:id="660" w:name="_Toc142311058"/>
      <w:bookmarkStart w:id="661" w:name="_Toc226337252"/>
      <w:bookmarkStart w:id="662" w:name="_Toc195842921"/>
      <w:bookmarkStart w:id="663" w:name="_Toc226965746"/>
      <w:bookmarkStart w:id="664" w:name="_Toc520356217"/>
      <w:bookmarkStart w:id="665" w:name="_Toc226965829"/>
      <w:bookmarkStart w:id="666" w:name="_Toc150774761"/>
      <w:bookmarkStart w:id="667" w:name="_Toc226309800"/>
      <w:bookmarkStart w:id="668" w:name="_Toc127151556"/>
      <w:bookmarkStart w:id="669" w:name="_Toc150480794"/>
      <w:r>
        <w:rPr>
          <w:rFonts w:hint="eastAsia" w:eastAsiaTheme="minorEastAsia"/>
          <w:color w:val="000000"/>
          <w:sz w:val="24"/>
        </w:rPr>
        <w:t>4</w:t>
      </w:r>
      <w:r>
        <w:rPr>
          <w:rFonts w:eastAsiaTheme="minorEastAsia"/>
          <w:color w:val="000000"/>
          <w:sz w:val="24"/>
          <w:szCs w:val="20"/>
        </w:rPr>
        <w:t xml:space="preserve">  </w:t>
      </w:r>
      <w:bookmarkEnd w:id="658"/>
      <w:bookmarkEnd w:id="659"/>
      <w:r>
        <w:rPr>
          <w:rFonts w:eastAsiaTheme="minorEastAsia"/>
          <w:color w:val="000000"/>
          <w:sz w:val="24"/>
        </w:rPr>
        <w:t>响应书</w:t>
      </w:r>
      <w:bookmarkEnd w:id="660"/>
      <w:bookmarkEnd w:id="661"/>
      <w:bookmarkEnd w:id="662"/>
      <w:bookmarkEnd w:id="663"/>
      <w:bookmarkEnd w:id="664"/>
      <w:bookmarkEnd w:id="665"/>
      <w:bookmarkEnd w:id="666"/>
      <w:bookmarkEnd w:id="667"/>
      <w:bookmarkEnd w:id="668"/>
      <w:bookmarkEnd w:id="669"/>
    </w:p>
    <w:p>
      <w:pPr>
        <w:tabs>
          <w:tab w:val="left" w:pos="5580"/>
        </w:tabs>
        <w:spacing w:line="360" w:lineRule="auto"/>
        <w:rPr>
          <w:rFonts w:eastAsiaTheme="minorEastAsia"/>
          <w:color w:val="000000"/>
          <w:sz w:val="24"/>
        </w:rPr>
      </w:pPr>
    </w:p>
    <w:p>
      <w:pPr>
        <w:jc w:val="center"/>
        <w:rPr>
          <w:b/>
          <w:color w:val="000000"/>
          <w:sz w:val="36"/>
          <w:szCs w:val="36"/>
        </w:rPr>
      </w:pPr>
      <w:r>
        <w:rPr>
          <w:rFonts w:hint="eastAsia"/>
          <w:b/>
          <w:color w:val="000000"/>
          <w:sz w:val="36"/>
          <w:szCs w:val="36"/>
        </w:rPr>
        <w:t>响应书</w:t>
      </w:r>
    </w:p>
    <w:p>
      <w:pPr>
        <w:jc w:val="center"/>
        <w:rPr>
          <w:color w:val="000000"/>
          <w:sz w:val="36"/>
          <w:szCs w:val="36"/>
        </w:rPr>
      </w:pP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tabs>
          <w:tab w:val="left" w:pos="5580"/>
        </w:tabs>
        <w:spacing w:line="360" w:lineRule="auto"/>
        <w:rPr>
          <w:rFonts w:eastAsiaTheme="minorEastAsia"/>
          <w:color w:val="000000"/>
          <w:sz w:val="24"/>
          <w:szCs w:val="20"/>
        </w:rPr>
      </w:pP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我方参加你方就_____________________（项目名称，项目编号/包号）组织的采购活动，并对此项目进行响应。</w:t>
      </w: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已详细审查全部询价通知书</w:t>
      </w:r>
      <w:r>
        <w:rPr>
          <w:rFonts w:eastAsiaTheme="minorEastAsia"/>
          <w:color w:val="000000"/>
          <w:sz w:val="24"/>
          <w:szCs w:val="20"/>
        </w:rPr>
        <w:t>，自愿参与响应并承诺如下：</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（1）本响应有效期为自提交响应文件的截止之日起</w:t>
      </w:r>
      <w:r>
        <w:rPr>
          <w:rFonts w:eastAsiaTheme="minorEastAsia"/>
          <w:sz w:val="24"/>
        </w:rPr>
        <w:t>_____</w:t>
      </w:r>
      <w:r>
        <w:rPr>
          <w:rFonts w:eastAsiaTheme="minorEastAsia"/>
          <w:color w:val="000000"/>
          <w:sz w:val="24"/>
          <w:szCs w:val="20"/>
        </w:rPr>
        <w:t>个日历日。</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（2）除合同条款及采购需求偏离表列出的偏离外，我方响应询价通知书的全部要求。</w:t>
      </w:r>
    </w:p>
    <w:p>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（4）如我方成交，我方将在法律规定的期限内与你方签订合同，按照询价通知书要求提交履约保证金，并在合同约定的期限内完成合同规定的全部义务。</w:t>
      </w:r>
    </w:p>
    <w:p>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color w:val="000000"/>
          <w:sz w:val="24"/>
          <w:szCs w:val="20"/>
        </w:rPr>
        <w:t>_____________________</w:t>
      </w:r>
      <w:r>
        <w:rPr>
          <w:rFonts w:eastAsiaTheme="minorEastAsia"/>
          <w:color w:val="000000"/>
          <w:sz w:val="24"/>
        </w:rPr>
        <w:t>。</w:t>
      </w:r>
    </w:p>
    <w:p>
      <w:pPr>
        <w:spacing w:line="360" w:lineRule="auto"/>
        <w:ind w:firstLine="480" w:firstLineChars="200"/>
        <w:rPr>
          <w:rFonts w:eastAsiaTheme="minorEastAsia"/>
          <w:color w:val="000000"/>
          <w:sz w:val="24"/>
        </w:rPr>
      </w:pPr>
      <w:r>
        <w:rPr>
          <w:rFonts w:eastAsiaTheme="minorEastAsia"/>
          <w:color w:val="000000"/>
          <w:sz w:val="24"/>
        </w:rPr>
        <w:t>与本响应有关的一切正式往来信函请寄：</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地址_________________________     传真____________________________</w:t>
      </w: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电话_________________________     电子函件________________________</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供应商名称（加盖公章） _____________________</w:t>
      </w: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 xml:space="preserve">日期：_____年______月______日    </w:t>
      </w:r>
    </w:p>
    <w:p>
      <w:pPr>
        <w:tabs>
          <w:tab w:val="left" w:pos="5580"/>
        </w:tabs>
        <w:spacing w:line="360" w:lineRule="auto"/>
        <w:ind w:left="420"/>
        <w:rPr>
          <w:rFonts w:eastAsiaTheme="minorEastAsia"/>
          <w:color w:val="000000"/>
          <w:sz w:val="24"/>
          <w:szCs w:val="20"/>
        </w:rPr>
      </w:pPr>
    </w:p>
    <w:p>
      <w:pPr>
        <w:widowControl/>
        <w:jc w:val="left"/>
        <w:rPr>
          <w:rFonts w:eastAsiaTheme="minorEastAsia"/>
          <w:b/>
          <w:color w:val="000000"/>
          <w:sz w:val="24"/>
          <w:szCs w:val="20"/>
        </w:rPr>
      </w:pPr>
      <w:r>
        <w:rPr>
          <w:rFonts w:eastAsiaTheme="minorEastAsia"/>
          <w:b/>
          <w:color w:val="000000"/>
          <w:sz w:val="24"/>
          <w:szCs w:val="20"/>
        </w:rPr>
        <w:br w:type="page"/>
      </w:r>
    </w:p>
    <w:p>
      <w:pPr>
        <w:spacing w:line="360" w:lineRule="auto"/>
        <w:outlineLvl w:val="2"/>
        <w:rPr>
          <w:rFonts w:eastAsiaTheme="minorEastAsia"/>
          <w:color w:val="000000"/>
          <w:sz w:val="24"/>
        </w:rPr>
      </w:pPr>
      <w:bookmarkStart w:id="670" w:name="_Toc195842922"/>
      <w:bookmarkStart w:id="671" w:name="_Ref467988705"/>
      <w:bookmarkStart w:id="672" w:name="_Toc520356218"/>
      <w:bookmarkStart w:id="673" w:name="_Toc265228395"/>
      <w:bookmarkStart w:id="674" w:name="_Toc226337253"/>
      <w:bookmarkStart w:id="675" w:name="_Toc480942350"/>
      <w:bookmarkStart w:id="676" w:name="_Toc127151557"/>
      <w:bookmarkStart w:id="677" w:name="_Toc305158899"/>
      <w:bookmarkStart w:id="678" w:name="_Toc226965747"/>
      <w:bookmarkStart w:id="679" w:name="_Toc226309801"/>
      <w:bookmarkStart w:id="680" w:name="_Toc150480795"/>
      <w:bookmarkStart w:id="681" w:name="_Toc142311059"/>
      <w:bookmarkStart w:id="682" w:name="_Toc305158825"/>
      <w:bookmarkStart w:id="683" w:name="_Toc150774762"/>
      <w:bookmarkStart w:id="684" w:name="_Toc226965830"/>
      <w:bookmarkStart w:id="685" w:name="_Toc264969247"/>
      <w:r>
        <w:rPr>
          <w:rFonts w:hint="eastAsia" w:eastAsiaTheme="minorEastAsia"/>
          <w:color w:val="000000"/>
          <w:sz w:val="24"/>
        </w:rPr>
        <w:t>5</w:t>
      </w:r>
      <w:r>
        <w:rPr>
          <w:rFonts w:eastAsiaTheme="minorEastAsia"/>
          <w:color w:val="000000"/>
          <w:sz w:val="24"/>
        </w:rPr>
        <w:t xml:space="preserve">  授权委托书</w:t>
      </w:r>
    </w:p>
    <w:p>
      <w:pPr>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p>
    <w:p>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（供应商名称）的法定代表人（单位负责人），现委托</w:t>
      </w:r>
      <w:r>
        <w:rPr>
          <w:color w:val="000000"/>
          <w:sz w:val="24"/>
          <w:lang w:val="zh-CN"/>
        </w:rPr>
        <w:t>_______</w:t>
      </w:r>
      <w:r>
        <w:rPr>
          <w:color w:val="000000"/>
          <w:sz w:val="24"/>
          <w:szCs w:val="20"/>
        </w:rPr>
        <w:t>（姓名）为我方代理人。代理人根据授权，以我方名义签署、澄清确认、递交、撤回、修改</w:t>
      </w:r>
      <w:r>
        <w:rPr>
          <w:color w:val="000000"/>
          <w:sz w:val="24"/>
          <w:lang w:val="zh-CN"/>
        </w:rPr>
        <w:t>________________</w:t>
      </w:r>
      <w:r>
        <w:rPr>
          <w:color w:val="000000"/>
          <w:sz w:val="24"/>
          <w:szCs w:val="20"/>
        </w:rPr>
        <w:t>（项目名称）响应文件和处理有关事宜，其法律后果由我方承担。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：________________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、签章</w:t>
      </w:r>
      <w:r>
        <w:rPr>
          <w:color w:val="000000"/>
          <w:sz w:val="24"/>
          <w:szCs w:val="20"/>
        </w:rPr>
        <w:t>或印鉴）：</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日期：_____年______月______日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1.若供应商为事业单位或其他组织或分支机构（仅当询价通知书注明允许分支机构响应的），则法定代表人（单位负责人）处的签署人可为单位负责人。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30"/>
          <w:szCs w:val="30"/>
        </w:rPr>
      </w:pPr>
      <w:r>
        <w:rPr>
          <w:color w:val="000000"/>
          <w:sz w:val="24"/>
          <w:szCs w:val="20"/>
        </w:rPr>
        <w:t>3.供应商为自然人的情形，可不提供本《授权委托书》。</w:t>
      </w:r>
      <w:r>
        <w:rPr>
          <w:color w:val="000000"/>
          <w:sz w:val="30"/>
          <w:szCs w:val="30"/>
        </w:rPr>
        <w:br w:type="page"/>
      </w:r>
    </w:p>
    <w:p>
      <w:pPr>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pStyle w:val="2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2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pPr>
        <w:pStyle w:val="22"/>
        <w:tabs>
          <w:tab w:val="left" w:pos="2412"/>
          <w:tab w:val="left" w:pos="3883"/>
          <w:tab w:val="left" w:pos="5352"/>
          <w:tab w:val="left" w:pos="6821"/>
        </w:tabs>
        <w:kinsoku w:val="0"/>
        <w:overflowPunct w:val="0"/>
        <w:spacing w:line="335" w:lineRule="exact"/>
        <w:rPr>
          <w:rFonts w:ascii="Times New Roman" w:hAnsi="Times New Roman"/>
        </w:rPr>
      </w:pPr>
    </w:p>
    <w:p>
      <w:pPr>
        <w:pStyle w:val="2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（供应商名称）的法定代表人（单位负责人）。</w:t>
      </w:r>
    </w:p>
    <w:p>
      <w:pPr>
        <w:pStyle w:val="22"/>
        <w:tabs>
          <w:tab w:val="left" w:pos="2412"/>
          <w:tab w:val="left" w:pos="3883"/>
          <w:tab w:val="left" w:pos="5352"/>
          <w:tab w:val="left" w:pos="6821"/>
        </w:tabs>
        <w:kinsoku w:val="0"/>
        <w:overflowPunct w:val="0"/>
        <w:spacing w:line="335" w:lineRule="exact"/>
        <w:rPr>
          <w:rFonts w:ascii="Times New Roman" w:hAnsi="Times New Roman"/>
        </w:rPr>
      </w:pPr>
    </w:p>
    <w:p>
      <w:pPr>
        <w:pStyle w:val="22"/>
        <w:tabs>
          <w:tab w:val="left" w:pos="2412"/>
          <w:tab w:val="left" w:pos="3883"/>
          <w:tab w:val="left" w:pos="5352"/>
          <w:tab w:val="left" w:pos="6821"/>
        </w:tabs>
        <w:kinsoku w:val="0"/>
        <w:overflowPunct w:val="0"/>
        <w:spacing w:line="335" w:lineRule="exact"/>
        <w:rPr>
          <w:rFonts w:ascii="Times New Roman" w:hAnsi="Times New Roman"/>
        </w:rPr>
      </w:pPr>
    </w:p>
    <w:p>
      <w:pPr>
        <w:pStyle w:val="22"/>
        <w:tabs>
          <w:tab w:val="left" w:pos="2412"/>
          <w:tab w:val="left" w:pos="3883"/>
          <w:tab w:val="left" w:pos="5352"/>
          <w:tab w:val="left" w:pos="6821"/>
        </w:tabs>
        <w:kinsoku w:val="0"/>
        <w:overflowPunct w:val="0"/>
        <w:spacing w:line="335" w:lineRule="exact"/>
        <w:rPr>
          <w:rFonts w:ascii="Times New Roman" w:hAnsi="Times New Roman"/>
        </w:rPr>
      </w:pPr>
    </w:p>
    <w:p>
      <w:pPr>
        <w:pStyle w:val="22"/>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22"/>
        <w:kinsoku w:val="0"/>
        <w:overflowPunct w:val="0"/>
        <w:spacing w:line="583" w:lineRule="auto"/>
        <w:ind w:right="4305"/>
        <w:rPr>
          <w:rFonts w:ascii="Times New Roman" w:hAnsi="Times New Roman"/>
          <w:spacing w:val="-3"/>
        </w:rPr>
      </w:pPr>
    </w:p>
    <w:p>
      <w:pPr>
        <w:pStyle w:val="22"/>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：________________</w:t>
      </w:r>
    </w:p>
    <w:p>
      <w:pPr>
        <w:pStyle w:val="22"/>
        <w:kinsoku w:val="0"/>
        <w:overflowPunct w:val="0"/>
        <w:spacing w:line="583" w:lineRule="auto"/>
        <w:ind w:right="95"/>
        <w:rPr>
          <w:color w:val="000000"/>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w:t>
      </w:r>
      <w:r>
        <w:rPr>
          <w:rFonts w:hint="eastAsia"/>
          <w:color w:val="000000"/>
          <w:szCs w:val="20"/>
        </w:rPr>
        <w:t>、签章</w:t>
      </w:r>
      <w:r>
        <w:rPr>
          <w:rFonts w:ascii="Times New Roman" w:hAnsi="Times New Roman"/>
          <w:spacing w:val="-3"/>
        </w:rPr>
        <w:t>或印鉴）：_____________</w:t>
      </w:r>
    </w:p>
    <w:p>
      <w:pPr>
        <w:autoSpaceDE w:val="0"/>
        <w:autoSpaceDN w:val="0"/>
        <w:adjustRightInd w:val="0"/>
        <w:snapToGrid w:val="0"/>
        <w:spacing w:line="360" w:lineRule="auto"/>
        <w:rPr>
          <w:color w:val="000000"/>
          <w:sz w:val="24"/>
          <w:lang w:val="zh-CN"/>
        </w:rPr>
      </w:pPr>
      <w:r>
        <w:rPr>
          <w:color w:val="000000"/>
          <w:sz w:val="24"/>
        </w:rPr>
        <w:t>日期：_____年______月______日</w:t>
      </w:r>
    </w:p>
    <w:p>
      <w:pPr>
        <w:widowControl/>
        <w:jc w:val="left"/>
        <w:rPr>
          <w:rFonts w:eastAsiaTheme="minorEastAsia"/>
          <w:i/>
          <w:color w:val="000000"/>
          <w:sz w:val="24"/>
          <w:szCs w:val="20"/>
          <w:u w:val="single"/>
        </w:rPr>
      </w:pPr>
    </w:p>
    <w:p>
      <w:pPr>
        <w:widowControl/>
        <w:jc w:val="left"/>
        <w:rPr>
          <w:rFonts w:eastAsiaTheme="minorEastAsia"/>
          <w:color w:val="000000"/>
          <w:sz w:val="24"/>
          <w:szCs w:val="20"/>
        </w:rPr>
      </w:pPr>
      <w:r>
        <w:rPr>
          <w:rFonts w:eastAsiaTheme="minorEastAsia"/>
          <w:color w:val="000000"/>
          <w:sz w:val="24"/>
          <w:szCs w:val="20"/>
        </w:rPr>
        <w:br w:type="page"/>
      </w:r>
    </w:p>
    <w:p>
      <w:pPr>
        <w:spacing w:line="360" w:lineRule="auto"/>
        <w:outlineLvl w:val="2"/>
        <w:rPr>
          <w:rFonts w:eastAsiaTheme="minorEastAsia"/>
          <w:color w:val="000000"/>
          <w:sz w:val="24"/>
          <w:szCs w:val="20"/>
        </w:rPr>
      </w:pPr>
      <w:r>
        <w:rPr>
          <w:rFonts w:hint="eastAsia" w:eastAsiaTheme="minorEastAsia"/>
          <w:color w:val="000000"/>
          <w:sz w:val="24"/>
          <w:szCs w:val="20"/>
        </w:rPr>
        <w:t>6</w:t>
      </w:r>
      <w:r>
        <w:rPr>
          <w:rFonts w:eastAsiaTheme="minorEastAsia"/>
          <w:color w:val="000000"/>
          <w:sz w:val="24"/>
          <w:szCs w:val="20"/>
        </w:rPr>
        <w:t xml:space="preserve">  报价一览表</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jc w:val="center"/>
        <w:rPr>
          <w:b/>
          <w:color w:val="000000"/>
          <w:sz w:val="36"/>
          <w:szCs w:val="36"/>
        </w:rPr>
      </w:pPr>
      <w:bookmarkStart w:id="686" w:name="_Toc226337254"/>
      <w:bookmarkStart w:id="687" w:name="_Toc305158826"/>
      <w:bookmarkStart w:id="688" w:name="_Toc195842923"/>
      <w:bookmarkStart w:id="689" w:name="_Toc164608827"/>
      <w:bookmarkStart w:id="690" w:name="_Toc164608672"/>
      <w:bookmarkStart w:id="691" w:name="_Toc264969248"/>
      <w:bookmarkStart w:id="692" w:name="_Toc226965748"/>
      <w:bookmarkStart w:id="693" w:name="_Toc265228396"/>
      <w:bookmarkStart w:id="694" w:name="_Toc226309802"/>
      <w:bookmarkStart w:id="695" w:name="_Toc305158900"/>
      <w:bookmarkStart w:id="696" w:name="_Toc226965831"/>
      <w:r>
        <w:rPr>
          <w:rFonts w:hint="eastAsia"/>
          <w:b/>
          <w:color w:val="000000"/>
          <w:sz w:val="36"/>
          <w:szCs w:val="36"/>
        </w:rPr>
        <w:t>报价一览表</w:t>
      </w:r>
      <w:bookmarkEnd w:id="686"/>
      <w:bookmarkEnd w:id="687"/>
      <w:bookmarkEnd w:id="688"/>
      <w:bookmarkEnd w:id="689"/>
      <w:bookmarkEnd w:id="690"/>
      <w:bookmarkEnd w:id="691"/>
      <w:bookmarkEnd w:id="692"/>
      <w:bookmarkEnd w:id="693"/>
      <w:bookmarkEnd w:id="694"/>
      <w:bookmarkEnd w:id="695"/>
      <w:bookmarkEnd w:id="696"/>
    </w:p>
    <w:p>
      <w:pPr>
        <w:tabs>
          <w:tab w:val="left" w:pos="1800"/>
          <w:tab w:val="left" w:pos="5580"/>
        </w:tabs>
        <w:spacing w:line="360" w:lineRule="auto"/>
        <w:jc w:val="left"/>
        <w:rPr>
          <w:rFonts w:eastAsiaTheme="minorEastAsia"/>
          <w:color w:val="000000"/>
          <w:sz w:val="24"/>
        </w:rPr>
      </w:pPr>
    </w:p>
    <w:p>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项目编号/包号：_____________________     项目名称：_______________________</w:t>
      </w:r>
    </w:p>
    <w:tbl>
      <w:tblPr>
        <w:tblStyle w:val="47"/>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
        <w:gridCol w:w="3284"/>
        <w:gridCol w:w="2076"/>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r>
    </w:tbl>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日期：_____年______月______日   </w:t>
      </w:r>
    </w:p>
    <w:p>
      <w:pPr>
        <w:widowControl/>
        <w:jc w:val="left"/>
        <w:rPr>
          <w:rFonts w:eastAsiaTheme="minorEastAsia"/>
          <w:color w:val="000000"/>
          <w:sz w:val="24"/>
          <w:szCs w:val="20"/>
        </w:rPr>
      </w:pPr>
      <w:bookmarkStart w:id="697" w:name="_Toc142311060"/>
      <w:bookmarkStart w:id="698" w:name="_Toc226965749"/>
      <w:bookmarkStart w:id="699" w:name="_Toc264969249"/>
      <w:bookmarkStart w:id="700" w:name="_Toc150480796"/>
      <w:bookmarkStart w:id="701" w:name="_Toc127151558"/>
      <w:bookmarkStart w:id="702" w:name="_Toc226309803"/>
      <w:bookmarkStart w:id="703" w:name="_Toc195842924"/>
      <w:bookmarkStart w:id="704" w:name="_Toc226965832"/>
      <w:bookmarkStart w:id="705" w:name="_Toc305158827"/>
      <w:bookmarkStart w:id="706" w:name="_Toc150774763"/>
      <w:bookmarkStart w:id="707" w:name="_Toc265228397"/>
      <w:bookmarkStart w:id="708" w:name="_Toc226337255"/>
      <w:bookmarkStart w:id="709" w:name="_Toc305158901"/>
      <w:r>
        <w:rPr>
          <w:rFonts w:eastAsiaTheme="minorEastAsia"/>
          <w:color w:val="000000"/>
          <w:sz w:val="24"/>
          <w:szCs w:val="20"/>
        </w:rPr>
        <w:br w:type="page"/>
      </w:r>
    </w:p>
    <w:p>
      <w:pPr>
        <w:spacing w:line="360" w:lineRule="auto"/>
        <w:outlineLvl w:val="2"/>
        <w:rPr>
          <w:rFonts w:eastAsiaTheme="minorEastAsia"/>
          <w:color w:val="000000"/>
          <w:sz w:val="24"/>
          <w:szCs w:val="20"/>
        </w:rPr>
      </w:pPr>
      <w:r>
        <w:rPr>
          <w:rFonts w:hint="eastAsia" w:eastAsiaTheme="minorEastAsia"/>
          <w:color w:val="000000"/>
          <w:sz w:val="24"/>
          <w:szCs w:val="20"/>
        </w:rPr>
        <w:t>7</w:t>
      </w:r>
      <w:r>
        <w:rPr>
          <w:rFonts w:eastAsiaTheme="minorEastAsia"/>
          <w:color w:val="000000"/>
          <w:sz w:val="24"/>
          <w:szCs w:val="20"/>
        </w:rPr>
        <w:t xml:space="preserve">  分项报价表</w:t>
      </w:r>
      <w:bookmarkEnd w:id="697"/>
      <w:bookmarkEnd w:id="698"/>
      <w:bookmarkEnd w:id="699"/>
      <w:bookmarkEnd w:id="700"/>
      <w:bookmarkEnd w:id="701"/>
      <w:bookmarkEnd w:id="702"/>
      <w:bookmarkEnd w:id="703"/>
      <w:bookmarkEnd w:id="704"/>
      <w:bookmarkEnd w:id="705"/>
      <w:bookmarkEnd w:id="706"/>
      <w:bookmarkEnd w:id="707"/>
      <w:bookmarkEnd w:id="708"/>
      <w:bookmarkEnd w:id="709"/>
    </w:p>
    <w:p>
      <w:pPr>
        <w:spacing w:line="360" w:lineRule="exact"/>
        <w:jc w:val="center"/>
        <w:rPr>
          <w:rFonts w:eastAsiaTheme="minorEastAsia"/>
          <w:color w:val="000000"/>
          <w:sz w:val="36"/>
          <w:szCs w:val="36"/>
        </w:rPr>
      </w:pPr>
    </w:p>
    <w:p>
      <w:pPr>
        <w:jc w:val="center"/>
        <w:rPr>
          <w:b/>
          <w:color w:val="000000"/>
          <w:sz w:val="36"/>
          <w:szCs w:val="36"/>
        </w:rPr>
      </w:pPr>
      <w:r>
        <w:rPr>
          <w:rFonts w:hint="eastAsia"/>
          <w:b/>
          <w:color w:val="000000"/>
          <w:sz w:val="36"/>
          <w:szCs w:val="36"/>
        </w:rPr>
        <w:t>分项报价表</w:t>
      </w:r>
    </w:p>
    <w:p>
      <w:pPr>
        <w:spacing w:line="260" w:lineRule="exact"/>
        <w:jc w:val="center"/>
        <w:rPr>
          <w:rFonts w:eastAsiaTheme="minorEastAsia"/>
          <w:color w:val="000000"/>
          <w:sz w:val="36"/>
          <w:szCs w:val="36"/>
        </w:rPr>
      </w:pPr>
    </w:p>
    <w:p>
      <w:pPr>
        <w:tabs>
          <w:tab w:val="left" w:pos="1800"/>
          <w:tab w:val="left" w:pos="5580"/>
        </w:tabs>
        <w:rPr>
          <w:rFonts w:eastAsiaTheme="minorEastAsia"/>
          <w:color w:val="000000"/>
          <w:sz w:val="24"/>
        </w:rPr>
      </w:pPr>
      <w:r>
        <w:rPr>
          <w:rFonts w:eastAsiaTheme="minorEastAsia"/>
          <w:color w:val="000000"/>
          <w:sz w:val="24"/>
        </w:rPr>
        <w:t>项目编号/包号：________ 项目名称：__________报价单位：人民币元</w:t>
      </w:r>
    </w:p>
    <w:tbl>
      <w:tblPr>
        <w:tblStyle w:val="47"/>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992"/>
        <w:gridCol w:w="1398"/>
        <w:gridCol w:w="1309"/>
        <w:gridCol w:w="1556"/>
        <w:gridCol w:w="1081"/>
        <w:gridCol w:w="531"/>
        <w:gridCol w:w="15"/>
        <w:gridCol w:w="107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rFonts w:eastAsiaTheme="minorEastAsia"/>
                <w:b/>
                <w:color w:val="000000"/>
                <w:sz w:val="24"/>
              </w:rPr>
            </w:pPr>
            <w:r>
              <w:rPr>
                <w:rFonts w:eastAsiaTheme="minorEastAsia"/>
                <w:b/>
                <w:color w:val="000000"/>
                <w:sz w:val="24"/>
              </w:rPr>
              <w:t>序号</w:t>
            </w:r>
          </w:p>
        </w:tc>
        <w:tc>
          <w:tcPr>
            <w:tcW w:w="1050" w:type="pct"/>
            <w:vAlign w:val="center"/>
          </w:tcPr>
          <w:p>
            <w:pPr>
              <w:adjustRightInd w:val="0"/>
              <w:snapToGrid w:val="0"/>
              <w:jc w:val="left"/>
              <w:rPr>
                <w:rFonts w:eastAsiaTheme="minorEastAsia"/>
                <w:b/>
                <w:color w:val="000000"/>
                <w:sz w:val="24"/>
              </w:rPr>
            </w:pPr>
            <w:r>
              <w:rPr>
                <w:rFonts w:eastAsiaTheme="minorEastAsia"/>
                <w:b/>
                <w:color w:val="000000"/>
                <w:sz w:val="24"/>
              </w:rPr>
              <w:t>分项名称</w:t>
            </w:r>
          </w:p>
        </w:tc>
        <w:tc>
          <w:tcPr>
            <w:tcW w:w="737" w:type="pct"/>
            <w:vAlign w:val="center"/>
          </w:tcPr>
          <w:p>
            <w:pPr>
              <w:adjustRightInd w:val="0"/>
              <w:snapToGrid w:val="0"/>
              <w:jc w:val="left"/>
              <w:rPr>
                <w:rFonts w:eastAsiaTheme="minorEastAsia"/>
                <w:b/>
                <w:color w:val="000000"/>
                <w:sz w:val="24"/>
              </w:rPr>
            </w:pPr>
            <w:r>
              <w:rPr>
                <w:rFonts w:eastAsiaTheme="minorEastAsia"/>
                <w:b/>
                <w:color w:val="000000"/>
                <w:sz w:val="24"/>
              </w:rPr>
              <w:t>制造商/</w:t>
            </w:r>
          </w:p>
          <w:p>
            <w:pPr>
              <w:adjustRightInd w:val="0"/>
              <w:snapToGrid w:val="0"/>
              <w:jc w:val="left"/>
              <w:rPr>
                <w:rFonts w:eastAsiaTheme="minorEastAsia"/>
                <w:b/>
                <w:color w:val="000000"/>
                <w:sz w:val="24"/>
              </w:rPr>
            </w:pPr>
            <w:r>
              <w:rPr>
                <w:rFonts w:eastAsiaTheme="minorEastAsia"/>
                <w:b/>
                <w:color w:val="000000"/>
                <w:sz w:val="24"/>
              </w:rPr>
              <w:t>生产厂家</w:t>
            </w:r>
          </w:p>
        </w:tc>
        <w:tc>
          <w:tcPr>
            <w:tcW w:w="690" w:type="pct"/>
            <w:vAlign w:val="center"/>
          </w:tcPr>
          <w:p>
            <w:pPr>
              <w:adjustRightInd w:val="0"/>
              <w:snapToGrid w:val="0"/>
              <w:jc w:val="left"/>
              <w:rPr>
                <w:rFonts w:eastAsiaTheme="minorEastAsia"/>
                <w:b/>
                <w:color w:val="000000"/>
                <w:sz w:val="24"/>
              </w:rPr>
            </w:pPr>
            <w:r>
              <w:rPr>
                <w:rFonts w:eastAsiaTheme="minorEastAsia"/>
                <w:b/>
                <w:color w:val="000000"/>
                <w:sz w:val="24"/>
              </w:rPr>
              <w:t>产地</w:t>
            </w:r>
          </w:p>
        </w:tc>
        <w:tc>
          <w:tcPr>
            <w:tcW w:w="820" w:type="pct"/>
            <w:vAlign w:val="center"/>
          </w:tcPr>
          <w:p>
            <w:pPr>
              <w:adjustRightInd w:val="0"/>
              <w:snapToGrid w:val="0"/>
              <w:jc w:val="left"/>
              <w:rPr>
                <w:rFonts w:eastAsiaTheme="minorEastAsia"/>
                <w:b/>
                <w:color w:val="000000"/>
                <w:sz w:val="24"/>
              </w:rPr>
            </w:pPr>
            <w:r>
              <w:rPr>
                <w:rFonts w:eastAsiaTheme="minorEastAsia"/>
                <w:b/>
                <w:color w:val="000000"/>
                <w:sz w:val="24"/>
              </w:rPr>
              <w:t>品牌、规格、型号</w:t>
            </w:r>
          </w:p>
        </w:tc>
        <w:tc>
          <w:tcPr>
            <w:tcW w:w="570" w:type="pct"/>
            <w:vAlign w:val="center"/>
          </w:tcPr>
          <w:p>
            <w:pPr>
              <w:adjustRightInd w:val="0"/>
              <w:snapToGrid w:val="0"/>
              <w:jc w:val="left"/>
              <w:rPr>
                <w:rFonts w:eastAsiaTheme="minorEastAsia"/>
                <w:b/>
                <w:color w:val="000000"/>
                <w:sz w:val="24"/>
              </w:rPr>
            </w:pPr>
            <w:r>
              <w:rPr>
                <w:rFonts w:eastAsiaTheme="minorEastAsia"/>
                <w:b/>
                <w:color w:val="000000"/>
                <w:sz w:val="24"/>
              </w:rPr>
              <w:t>单价（元）</w:t>
            </w:r>
          </w:p>
        </w:tc>
        <w:tc>
          <w:tcPr>
            <w:tcW w:w="280" w:type="pct"/>
            <w:vAlign w:val="center"/>
          </w:tcPr>
          <w:p>
            <w:pPr>
              <w:adjustRightInd w:val="0"/>
              <w:snapToGrid w:val="0"/>
              <w:jc w:val="left"/>
              <w:rPr>
                <w:rFonts w:eastAsiaTheme="minorEastAsia"/>
                <w:b/>
                <w:color w:val="000000"/>
                <w:sz w:val="24"/>
              </w:rPr>
            </w:pPr>
            <w:r>
              <w:rPr>
                <w:rFonts w:eastAsiaTheme="minorEastAsia"/>
                <w:b/>
                <w:color w:val="000000"/>
                <w:sz w:val="24"/>
              </w:rPr>
              <w:t>数量</w:t>
            </w:r>
          </w:p>
        </w:tc>
        <w:tc>
          <w:tcPr>
            <w:tcW w:w="572" w:type="pct"/>
            <w:gridSpan w:val="2"/>
            <w:vAlign w:val="center"/>
          </w:tcPr>
          <w:p>
            <w:pPr>
              <w:adjustRightInd w:val="0"/>
              <w:snapToGrid w:val="0"/>
              <w:jc w:val="left"/>
              <w:rPr>
                <w:rFonts w:eastAsiaTheme="minorEastAsia"/>
                <w:b/>
                <w:color w:val="000000"/>
                <w:sz w:val="24"/>
              </w:rPr>
            </w:pPr>
            <w:r>
              <w:rPr>
                <w:rFonts w:eastAsiaTheme="minorEastAsia"/>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1</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2</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3</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4</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rFonts w:eastAsiaTheme="minorEastAsia"/>
                <w:b/>
                <w:sz w:val="24"/>
              </w:rPr>
            </w:pPr>
            <w:r>
              <w:rPr>
                <w:rFonts w:eastAsiaTheme="minorEastAsia"/>
                <w:b/>
                <w:sz w:val="24"/>
              </w:rPr>
              <w:t>总价（元）</w:t>
            </w:r>
          </w:p>
        </w:tc>
        <w:tc>
          <w:tcPr>
            <w:tcW w:w="569" w:type="pct"/>
            <w:gridSpan w:val="2"/>
            <w:vAlign w:val="center"/>
          </w:tcPr>
          <w:p>
            <w:pPr>
              <w:adjustRightInd w:val="0"/>
              <w:snapToGrid w:val="0"/>
              <w:jc w:val="left"/>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2.如果不提供分项报价将视为没有实质性响应询价通知书。</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3.上述各项的详细规格（如有），可另页描述。</w:t>
      </w: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    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日期：_____年______月______日   </w:t>
      </w:r>
    </w:p>
    <w:p>
      <w:pPr>
        <w:spacing w:line="360" w:lineRule="auto"/>
        <w:outlineLvl w:val="2"/>
        <w:rPr>
          <w:rFonts w:eastAsiaTheme="minorEastAsia"/>
          <w:color w:val="000000"/>
          <w:sz w:val="24"/>
          <w:szCs w:val="20"/>
        </w:rPr>
      </w:pPr>
      <w:bookmarkStart w:id="710" w:name="_Toc305158904"/>
      <w:bookmarkStart w:id="711" w:name="_Toc195842927"/>
      <w:bookmarkStart w:id="712" w:name="_Toc264969252"/>
      <w:bookmarkStart w:id="713" w:name="_Toc226337258"/>
      <w:bookmarkStart w:id="714" w:name="_Toc305158830"/>
      <w:bookmarkStart w:id="715" w:name="_Toc127151562"/>
      <w:bookmarkStart w:id="716" w:name="_Toc150774765"/>
      <w:bookmarkStart w:id="717" w:name="_Toc265228400"/>
      <w:bookmarkStart w:id="718" w:name="_Toc142311062"/>
      <w:bookmarkStart w:id="719" w:name="_Toc226965835"/>
      <w:bookmarkStart w:id="720" w:name="_Toc226309806"/>
      <w:bookmarkStart w:id="721" w:name="_Toc150480798"/>
      <w:bookmarkStart w:id="722" w:name="_Toc226965752"/>
      <w:bookmarkStart w:id="723" w:name="_Toc150774764"/>
      <w:bookmarkStart w:id="724" w:name="_Toc264969251"/>
      <w:bookmarkStart w:id="725" w:name="_Toc305158829"/>
      <w:bookmarkStart w:id="726" w:name="_Toc142311061"/>
      <w:bookmarkStart w:id="727" w:name="_Toc226965751"/>
      <w:bookmarkStart w:id="728" w:name="_Toc226965834"/>
      <w:bookmarkStart w:id="729" w:name="_Toc226337257"/>
      <w:bookmarkStart w:id="730" w:name="_Toc305158903"/>
      <w:bookmarkStart w:id="731" w:name="_Toc195842926"/>
      <w:bookmarkStart w:id="732" w:name="_Toc150480797"/>
      <w:bookmarkStart w:id="733" w:name="_Toc226309805"/>
      <w:bookmarkStart w:id="734" w:name="_Toc265228399"/>
      <w:bookmarkStart w:id="735" w:name="_Toc127151561"/>
      <w:r>
        <w:rPr>
          <w:rFonts w:eastAsiaTheme="minorEastAsia"/>
          <w:color w:val="000000"/>
          <w:sz w:val="24"/>
          <w:szCs w:val="20"/>
        </w:rPr>
        <w:br w:type="page"/>
      </w:r>
      <w:r>
        <w:rPr>
          <w:rFonts w:hint="eastAsia" w:eastAsiaTheme="minorEastAsia"/>
          <w:color w:val="000000"/>
          <w:sz w:val="24"/>
          <w:szCs w:val="20"/>
        </w:rPr>
        <w:t>8</w:t>
      </w:r>
      <w:r>
        <w:rPr>
          <w:rFonts w:eastAsiaTheme="minorEastAsia"/>
          <w:color w:val="000000"/>
          <w:sz w:val="24"/>
          <w:szCs w:val="20"/>
        </w:rPr>
        <w:t xml:space="preserve">  合同条款偏离表</w:t>
      </w:r>
      <w:bookmarkEnd w:id="710"/>
      <w:bookmarkEnd w:id="711"/>
      <w:bookmarkEnd w:id="712"/>
      <w:bookmarkEnd w:id="713"/>
      <w:bookmarkEnd w:id="714"/>
      <w:bookmarkEnd w:id="715"/>
      <w:bookmarkEnd w:id="716"/>
      <w:bookmarkEnd w:id="717"/>
      <w:bookmarkEnd w:id="718"/>
      <w:bookmarkEnd w:id="719"/>
      <w:bookmarkEnd w:id="720"/>
      <w:bookmarkEnd w:id="721"/>
      <w:bookmarkEnd w:id="722"/>
    </w:p>
    <w:p>
      <w:pPr>
        <w:spacing w:line="360" w:lineRule="auto"/>
        <w:rPr>
          <w:rFonts w:eastAsiaTheme="minorEastAsia"/>
          <w:color w:val="000000"/>
          <w:sz w:val="24"/>
          <w:szCs w:val="20"/>
        </w:rPr>
      </w:pPr>
    </w:p>
    <w:p>
      <w:pPr>
        <w:jc w:val="center"/>
        <w:rPr>
          <w:b/>
          <w:color w:val="000000"/>
          <w:sz w:val="36"/>
          <w:szCs w:val="36"/>
        </w:rPr>
      </w:pPr>
      <w:r>
        <w:rPr>
          <w:rFonts w:hint="eastAsia"/>
          <w:b/>
          <w:color w:val="000000"/>
          <w:sz w:val="36"/>
          <w:szCs w:val="36"/>
        </w:rPr>
        <w:t>合同条款偏离表</w:t>
      </w:r>
    </w:p>
    <w:p>
      <w:pPr>
        <w:jc w:val="center"/>
        <w:rPr>
          <w:color w:val="000000"/>
          <w:sz w:val="36"/>
          <w:szCs w:val="36"/>
        </w:rPr>
      </w:pPr>
    </w:p>
    <w:p>
      <w:pPr>
        <w:spacing w:line="360" w:lineRule="auto"/>
        <w:rPr>
          <w:rFonts w:eastAsiaTheme="minorEastAsia"/>
          <w:color w:val="000000"/>
          <w:sz w:val="24"/>
          <w:szCs w:val="20"/>
        </w:rPr>
      </w:pP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项目名称：_____________________</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eastAsiaTheme="minorEastAsia"/>
                <w:b/>
                <w:color w:val="000000"/>
                <w:sz w:val="24"/>
              </w:rPr>
            </w:pPr>
            <w:r>
              <w:rPr>
                <w:rFonts w:hint="eastAsia"/>
                <w:b/>
                <w:color w:val="000000"/>
                <w:sz w:val="24"/>
              </w:rPr>
              <w:t>对本项目合同条款的偏离情况（请进行勾选）：</w:t>
            </w:r>
          </w:p>
          <w:p>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如无偏离，仅勾选无偏离即可</w:t>
            </w:r>
            <w:r>
              <w:rPr>
                <w:rFonts w:eastAsiaTheme="minorEastAsia"/>
                <w:color w:val="000000"/>
                <w:sz w:val="24"/>
              </w:rPr>
              <w:t>）</w:t>
            </w:r>
          </w:p>
          <w:p>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如有负偏离，</w:t>
            </w:r>
            <w:r>
              <w:rPr>
                <w:rFonts w:eastAsiaTheme="minorEastAsia"/>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r>
              <w:rPr>
                <w:rFonts w:eastAsiaTheme="minorEastAsia"/>
                <w:color w:val="000000"/>
                <w:sz w:val="24"/>
              </w:rPr>
              <w:t>序号</w:t>
            </w:r>
          </w:p>
        </w:tc>
        <w:tc>
          <w:tcPr>
            <w:tcW w:w="1301" w:type="dxa"/>
            <w:vAlign w:val="center"/>
          </w:tcPr>
          <w:p>
            <w:pPr>
              <w:adjustRightInd w:val="0"/>
              <w:snapToGrid w:val="0"/>
              <w:jc w:val="center"/>
              <w:rPr>
                <w:rFonts w:eastAsiaTheme="minorEastAsia"/>
                <w:color w:val="000000"/>
                <w:sz w:val="24"/>
              </w:rPr>
            </w:pPr>
            <w:r>
              <w:rPr>
                <w:rFonts w:eastAsiaTheme="minorEastAsia"/>
                <w:color w:val="000000"/>
                <w:sz w:val="24"/>
                <w:szCs w:val="21"/>
              </w:rPr>
              <w:t>询价通知书</w:t>
            </w:r>
            <w:r>
              <w:rPr>
                <w:rFonts w:eastAsiaTheme="minorEastAsia"/>
                <w:color w:val="000000"/>
                <w:sz w:val="24"/>
              </w:rPr>
              <w:t>条目号（页码）</w:t>
            </w:r>
          </w:p>
        </w:tc>
        <w:tc>
          <w:tcPr>
            <w:tcW w:w="2007" w:type="dxa"/>
            <w:vAlign w:val="center"/>
          </w:tcPr>
          <w:p>
            <w:pPr>
              <w:adjustRightInd w:val="0"/>
              <w:snapToGrid w:val="0"/>
              <w:jc w:val="center"/>
              <w:rPr>
                <w:rFonts w:eastAsiaTheme="minorEastAsia"/>
                <w:color w:val="000000"/>
                <w:sz w:val="24"/>
              </w:rPr>
            </w:pPr>
            <w:r>
              <w:rPr>
                <w:rFonts w:eastAsiaTheme="minorEastAsia"/>
                <w:color w:val="000000"/>
                <w:sz w:val="24"/>
                <w:szCs w:val="21"/>
              </w:rPr>
              <w:t>询价通知书</w:t>
            </w:r>
            <w:r>
              <w:rPr>
                <w:rFonts w:eastAsiaTheme="minorEastAsia"/>
                <w:color w:val="000000"/>
                <w:sz w:val="24"/>
              </w:rPr>
              <w:t>要求</w:t>
            </w:r>
          </w:p>
        </w:tc>
        <w:tc>
          <w:tcPr>
            <w:tcW w:w="2008" w:type="dxa"/>
            <w:vAlign w:val="center"/>
          </w:tcPr>
          <w:p>
            <w:pPr>
              <w:adjustRightInd w:val="0"/>
              <w:snapToGrid w:val="0"/>
              <w:jc w:val="center"/>
              <w:rPr>
                <w:rFonts w:eastAsiaTheme="minorEastAsia"/>
                <w:color w:val="000000"/>
                <w:sz w:val="24"/>
              </w:rPr>
            </w:pPr>
            <w:r>
              <w:rPr>
                <w:rFonts w:eastAsiaTheme="minorEastAsia"/>
                <w:color w:val="000000"/>
                <w:sz w:val="24"/>
              </w:rPr>
              <w:t>响应文件内容</w:t>
            </w:r>
          </w:p>
        </w:tc>
        <w:tc>
          <w:tcPr>
            <w:tcW w:w="2458"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p>
            <w:pPr>
              <w:adjustRightInd w:val="0"/>
              <w:snapToGrid w:val="0"/>
              <w:jc w:val="center"/>
              <w:rPr>
                <w:rFonts w:eastAsiaTheme="minorEastAsia"/>
                <w:color w:val="000000"/>
                <w:sz w:val="24"/>
              </w:rPr>
            </w:pPr>
            <w:r>
              <w:rPr>
                <w:rFonts w:eastAsiaTheme="minorEastAsia"/>
                <w:color w:val="000000"/>
                <w:sz w:val="24"/>
              </w:rPr>
              <w:t>（据实填写）</w:t>
            </w:r>
          </w:p>
        </w:tc>
        <w:tc>
          <w:tcPr>
            <w:tcW w:w="788"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p>
        </w:tc>
        <w:tc>
          <w:tcPr>
            <w:tcW w:w="1301" w:type="dxa"/>
            <w:vAlign w:val="center"/>
          </w:tcPr>
          <w:p>
            <w:pPr>
              <w:adjustRightInd w:val="0"/>
              <w:snapToGrid w:val="0"/>
              <w:jc w:val="center"/>
              <w:rPr>
                <w:rFonts w:eastAsiaTheme="minorEastAsia"/>
                <w:color w:val="000000"/>
                <w:sz w:val="24"/>
              </w:rPr>
            </w:pPr>
          </w:p>
        </w:tc>
        <w:tc>
          <w:tcPr>
            <w:tcW w:w="2007" w:type="dxa"/>
            <w:vAlign w:val="center"/>
          </w:tcPr>
          <w:p>
            <w:pPr>
              <w:adjustRightInd w:val="0"/>
              <w:snapToGrid w:val="0"/>
              <w:jc w:val="center"/>
              <w:rPr>
                <w:rFonts w:eastAsiaTheme="minorEastAsia"/>
                <w:color w:val="000000"/>
                <w:sz w:val="24"/>
              </w:rPr>
            </w:pPr>
          </w:p>
        </w:tc>
        <w:tc>
          <w:tcPr>
            <w:tcW w:w="2008" w:type="dxa"/>
            <w:vAlign w:val="center"/>
          </w:tcPr>
          <w:p>
            <w:pPr>
              <w:adjustRightInd w:val="0"/>
              <w:snapToGrid w:val="0"/>
              <w:jc w:val="center"/>
              <w:rPr>
                <w:rFonts w:eastAsiaTheme="minorEastAsia"/>
                <w:color w:val="000000"/>
                <w:sz w:val="24"/>
              </w:rPr>
            </w:pPr>
          </w:p>
        </w:tc>
        <w:tc>
          <w:tcPr>
            <w:tcW w:w="2458" w:type="dxa"/>
            <w:vAlign w:val="center"/>
          </w:tcPr>
          <w:p>
            <w:pPr>
              <w:adjustRightInd w:val="0"/>
              <w:snapToGrid w:val="0"/>
              <w:jc w:val="center"/>
              <w:rPr>
                <w:rFonts w:eastAsiaTheme="minorEastAsia"/>
                <w:color w:val="000000"/>
                <w:sz w:val="24"/>
              </w:rPr>
            </w:pPr>
          </w:p>
        </w:tc>
        <w:tc>
          <w:tcPr>
            <w:tcW w:w="788"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p>
        </w:tc>
        <w:tc>
          <w:tcPr>
            <w:tcW w:w="1301" w:type="dxa"/>
            <w:vAlign w:val="center"/>
          </w:tcPr>
          <w:p>
            <w:pPr>
              <w:adjustRightInd w:val="0"/>
              <w:snapToGrid w:val="0"/>
              <w:jc w:val="center"/>
              <w:rPr>
                <w:rFonts w:eastAsiaTheme="minorEastAsia"/>
                <w:color w:val="000000"/>
                <w:sz w:val="24"/>
              </w:rPr>
            </w:pPr>
          </w:p>
        </w:tc>
        <w:tc>
          <w:tcPr>
            <w:tcW w:w="2007" w:type="dxa"/>
            <w:vAlign w:val="center"/>
          </w:tcPr>
          <w:p>
            <w:pPr>
              <w:adjustRightInd w:val="0"/>
              <w:snapToGrid w:val="0"/>
              <w:jc w:val="center"/>
              <w:rPr>
                <w:rFonts w:eastAsiaTheme="minorEastAsia"/>
                <w:color w:val="000000"/>
                <w:sz w:val="24"/>
              </w:rPr>
            </w:pPr>
          </w:p>
        </w:tc>
        <w:tc>
          <w:tcPr>
            <w:tcW w:w="2008" w:type="dxa"/>
            <w:vAlign w:val="center"/>
          </w:tcPr>
          <w:p>
            <w:pPr>
              <w:adjustRightInd w:val="0"/>
              <w:snapToGrid w:val="0"/>
              <w:jc w:val="center"/>
              <w:rPr>
                <w:rFonts w:eastAsiaTheme="minorEastAsia"/>
                <w:color w:val="000000"/>
                <w:sz w:val="24"/>
              </w:rPr>
            </w:pPr>
          </w:p>
        </w:tc>
        <w:tc>
          <w:tcPr>
            <w:tcW w:w="2458" w:type="dxa"/>
            <w:vAlign w:val="center"/>
          </w:tcPr>
          <w:p>
            <w:pPr>
              <w:adjustRightInd w:val="0"/>
              <w:snapToGrid w:val="0"/>
              <w:jc w:val="center"/>
              <w:rPr>
                <w:rFonts w:eastAsiaTheme="minorEastAsia"/>
                <w:color w:val="000000"/>
                <w:sz w:val="24"/>
              </w:rPr>
            </w:pPr>
          </w:p>
        </w:tc>
        <w:tc>
          <w:tcPr>
            <w:tcW w:w="788"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p>
        </w:tc>
        <w:tc>
          <w:tcPr>
            <w:tcW w:w="1301" w:type="dxa"/>
            <w:vAlign w:val="center"/>
          </w:tcPr>
          <w:p>
            <w:pPr>
              <w:adjustRightInd w:val="0"/>
              <w:snapToGrid w:val="0"/>
              <w:jc w:val="center"/>
              <w:rPr>
                <w:rFonts w:eastAsiaTheme="minorEastAsia"/>
                <w:color w:val="000000"/>
                <w:sz w:val="24"/>
              </w:rPr>
            </w:pPr>
          </w:p>
        </w:tc>
        <w:tc>
          <w:tcPr>
            <w:tcW w:w="2007" w:type="dxa"/>
            <w:vAlign w:val="center"/>
          </w:tcPr>
          <w:p>
            <w:pPr>
              <w:adjustRightInd w:val="0"/>
              <w:snapToGrid w:val="0"/>
              <w:jc w:val="center"/>
              <w:rPr>
                <w:rFonts w:eastAsiaTheme="minorEastAsia"/>
                <w:color w:val="000000"/>
                <w:sz w:val="24"/>
              </w:rPr>
            </w:pPr>
          </w:p>
        </w:tc>
        <w:tc>
          <w:tcPr>
            <w:tcW w:w="2008" w:type="dxa"/>
            <w:vAlign w:val="center"/>
          </w:tcPr>
          <w:p>
            <w:pPr>
              <w:adjustRightInd w:val="0"/>
              <w:snapToGrid w:val="0"/>
              <w:jc w:val="center"/>
              <w:rPr>
                <w:rFonts w:eastAsiaTheme="minorEastAsia"/>
                <w:color w:val="000000"/>
                <w:sz w:val="24"/>
              </w:rPr>
            </w:pPr>
          </w:p>
        </w:tc>
        <w:tc>
          <w:tcPr>
            <w:tcW w:w="2458" w:type="dxa"/>
            <w:vAlign w:val="center"/>
          </w:tcPr>
          <w:p>
            <w:pPr>
              <w:adjustRightInd w:val="0"/>
              <w:snapToGrid w:val="0"/>
              <w:jc w:val="center"/>
              <w:rPr>
                <w:rFonts w:eastAsiaTheme="minorEastAsia"/>
                <w:color w:val="000000"/>
                <w:sz w:val="24"/>
              </w:rPr>
            </w:pPr>
          </w:p>
        </w:tc>
        <w:tc>
          <w:tcPr>
            <w:tcW w:w="788"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p>
        </w:tc>
        <w:tc>
          <w:tcPr>
            <w:tcW w:w="1301" w:type="dxa"/>
            <w:vAlign w:val="center"/>
          </w:tcPr>
          <w:p>
            <w:pPr>
              <w:adjustRightInd w:val="0"/>
              <w:snapToGrid w:val="0"/>
              <w:jc w:val="center"/>
              <w:rPr>
                <w:rFonts w:eastAsiaTheme="minorEastAsia"/>
                <w:color w:val="000000"/>
                <w:sz w:val="24"/>
              </w:rPr>
            </w:pPr>
          </w:p>
        </w:tc>
        <w:tc>
          <w:tcPr>
            <w:tcW w:w="2007" w:type="dxa"/>
            <w:vAlign w:val="center"/>
          </w:tcPr>
          <w:p>
            <w:pPr>
              <w:adjustRightInd w:val="0"/>
              <w:snapToGrid w:val="0"/>
              <w:jc w:val="center"/>
              <w:rPr>
                <w:rFonts w:eastAsiaTheme="minorEastAsia"/>
                <w:color w:val="000000"/>
                <w:sz w:val="24"/>
              </w:rPr>
            </w:pPr>
          </w:p>
        </w:tc>
        <w:tc>
          <w:tcPr>
            <w:tcW w:w="2008" w:type="dxa"/>
            <w:vAlign w:val="center"/>
          </w:tcPr>
          <w:p>
            <w:pPr>
              <w:adjustRightInd w:val="0"/>
              <w:snapToGrid w:val="0"/>
              <w:jc w:val="center"/>
              <w:rPr>
                <w:rFonts w:eastAsiaTheme="minorEastAsia"/>
                <w:color w:val="000000"/>
                <w:sz w:val="24"/>
              </w:rPr>
            </w:pPr>
          </w:p>
        </w:tc>
        <w:tc>
          <w:tcPr>
            <w:tcW w:w="2458" w:type="dxa"/>
            <w:vAlign w:val="center"/>
          </w:tcPr>
          <w:p>
            <w:pPr>
              <w:adjustRightInd w:val="0"/>
              <w:snapToGrid w:val="0"/>
              <w:jc w:val="center"/>
              <w:rPr>
                <w:rFonts w:eastAsiaTheme="minorEastAsia"/>
                <w:color w:val="000000"/>
                <w:sz w:val="24"/>
              </w:rPr>
            </w:pPr>
          </w:p>
        </w:tc>
        <w:tc>
          <w:tcPr>
            <w:tcW w:w="788" w:type="dxa"/>
            <w:vAlign w:val="center"/>
          </w:tcPr>
          <w:p>
            <w:pPr>
              <w:adjustRightInd w:val="0"/>
              <w:snapToGrid w:val="0"/>
              <w:jc w:val="center"/>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    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日期：_____年______月______日   </w:t>
      </w:r>
    </w:p>
    <w:p>
      <w:pPr>
        <w:spacing w:line="360" w:lineRule="auto"/>
        <w:outlineLvl w:val="2"/>
        <w:rPr>
          <w:rFonts w:eastAsiaTheme="minorEastAsia"/>
          <w:color w:val="000000"/>
          <w:sz w:val="24"/>
          <w:szCs w:val="20"/>
        </w:rPr>
      </w:pPr>
      <w:r>
        <w:rPr>
          <w:rFonts w:eastAsiaTheme="minorEastAsia"/>
          <w:color w:val="000000"/>
          <w:sz w:val="24"/>
          <w:szCs w:val="20"/>
        </w:rPr>
        <w:br w:type="page"/>
      </w:r>
      <w:r>
        <w:rPr>
          <w:rFonts w:hint="eastAsia" w:eastAsiaTheme="minorEastAsia"/>
          <w:color w:val="000000"/>
          <w:sz w:val="24"/>
          <w:szCs w:val="20"/>
        </w:rPr>
        <w:t>9</w:t>
      </w:r>
      <w:r>
        <w:rPr>
          <w:rFonts w:eastAsiaTheme="minorEastAsia"/>
          <w:color w:val="000000"/>
          <w:sz w:val="24"/>
          <w:szCs w:val="20"/>
        </w:rPr>
        <w:t xml:space="preserve">  </w:t>
      </w:r>
      <w:bookmarkEnd w:id="723"/>
      <w:bookmarkEnd w:id="724"/>
      <w:bookmarkEnd w:id="725"/>
      <w:bookmarkEnd w:id="726"/>
      <w:bookmarkEnd w:id="727"/>
      <w:bookmarkEnd w:id="728"/>
      <w:bookmarkEnd w:id="729"/>
      <w:bookmarkEnd w:id="730"/>
      <w:bookmarkEnd w:id="731"/>
      <w:bookmarkEnd w:id="732"/>
      <w:bookmarkEnd w:id="733"/>
      <w:bookmarkEnd w:id="734"/>
      <w:bookmarkEnd w:id="735"/>
      <w:r>
        <w:rPr>
          <w:rFonts w:eastAsiaTheme="minorEastAsia"/>
          <w:color w:val="000000"/>
          <w:sz w:val="24"/>
          <w:szCs w:val="20"/>
        </w:rPr>
        <w:t>采购需求偏离表</w:t>
      </w:r>
    </w:p>
    <w:p>
      <w:pPr>
        <w:jc w:val="center"/>
        <w:rPr>
          <w:b/>
          <w:color w:val="000000"/>
          <w:sz w:val="36"/>
          <w:szCs w:val="36"/>
        </w:rPr>
      </w:pPr>
      <w:r>
        <w:rPr>
          <w:rFonts w:hint="eastAsia"/>
          <w:b/>
          <w:color w:val="000000"/>
          <w:sz w:val="36"/>
          <w:szCs w:val="36"/>
        </w:rPr>
        <w:t>采购需求偏离表</w:t>
      </w:r>
    </w:p>
    <w:p>
      <w:pPr>
        <w:jc w:val="center"/>
        <w:rPr>
          <w:color w:val="000000"/>
          <w:sz w:val="36"/>
          <w:szCs w:val="36"/>
        </w:rPr>
      </w:pPr>
    </w:p>
    <w:p>
      <w:pPr>
        <w:tabs>
          <w:tab w:val="left" w:pos="1800"/>
          <w:tab w:val="left" w:pos="5580"/>
        </w:tabs>
        <w:spacing w:line="360" w:lineRule="auto"/>
        <w:ind w:firstLine="360" w:firstLineChars="150"/>
        <w:jc w:val="left"/>
        <w:rPr>
          <w:rFonts w:eastAsiaTheme="minorEastAsia"/>
          <w:color w:val="000000"/>
          <w:sz w:val="24"/>
          <w:u w:val="single"/>
        </w:rPr>
      </w:pPr>
      <w:r>
        <w:rPr>
          <w:rFonts w:eastAsiaTheme="minorEastAsia"/>
          <w:color w:val="000000"/>
          <w:sz w:val="24"/>
        </w:rPr>
        <w:t>项目编号/包号：_____________________     项目名称：_______________________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pPr>
              <w:adjustRightInd w:val="0"/>
              <w:snapToGrid w:val="0"/>
              <w:jc w:val="center"/>
              <w:rPr>
                <w:rFonts w:eastAsiaTheme="minorEastAsia"/>
                <w:color w:val="000000"/>
                <w:sz w:val="24"/>
              </w:rPr>
            </w:pPr>
            <w:r>
              <w:rPr>
                <w:rFonts w:eastAsiaTheme="minorEastAsia"/>
                <w:color w:val="000000"/>
                <w:sz w:val="24"/>
              </w:rPr>
              <w:t>询价通知书条目号(页码)</w:t>
            </w:r>
          </w:p>
        </w:tc>
        <w:tc>
          <w:tcPr>
            <w:tcW w:w="2384" w:type="dxa"/>
            <w:vAlign w:val="center"/>
          </w:tcPr>
          <w:p>
            <w:pPr>
              <w:adjustRightInd w:val="0"/>
              <w:snapToGrid w:val="0"/>
              <w:jc w:val="center"/>
              <w:rPr>
                <w:rFonts w:eastAsiaTheme="minorEastAsia"/>
                <w:color w:val="000000"/>
                <w:sz w:val="24"/>
              </w:rPr>
            </w:pPr>
            <w:r>
              <w:rPr>
                <w:rFonts w:eastAsiaTheme="minorEastAsia"/>
                <w:color w:val="000000"/>
                <w:sz w:val="24"/>
              </w:rPr>
              <w:t>询价通知书要求</w:t>
            </w:r>
          </w:p>
        </w:tc>
        <w:tc>
          <w:tcPr>
            <w:tcW w:w="2126" w:type="dxa"/>
            <w:vAlign w:val="center"/>
          </w:tcPr>
          <w:p>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p>
            <w:pPr>
              <w:adjustRightInd w:val="0"/>
              <w:snapToGrid w:val="0"/>
              <w:jc w:val="center"/>
              <w:rPr>
                <w:rFonts w:eastAsiaTheme="minorEastAsia"/>
                <w:color w:val="000000"/>
                <w:sz w:val="24"/>
              </w:rPr>
            </w:pPr>
            <w:r>
              <w:rPr>
                <w:rFonts w:eastAsiaTheme="minorEastAsia"/>
                <w:color w:val="000000"/>
                <w:sz w:val="24"/>
                <w:szCs w:val="21"/>
              </w:rPr>
              <w:t>（据实填写）</w:t>
            </w:r>
          </w:p>
        </w:tc>
        <w:tc>
          <w:tcPr>
            <w:tcW w:w="1009"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bl>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jc w:val="left"/>
        <w:rPr>
          <w:rFonts w:eastAsiaTheme="minorEastAsia"/>
          <w:color w:val="000000"/>
          <w:sz w:val="24"/>
        </w:rPr>
      </w:pPr>
      <w:r>
        <w:rPr>
          <w:rFonts w:eastAsiaTheme="minorEastAsia"/>
          <w:color w:val="000000"/>
          <w:sz w:val="24"/>
        </w:rPr>
        <w:t>注：</w:t>
      </w:r>
    </w:p>
    <w:p>
      <w:pPr>
        <w:tabs>
          <w:tab w:val="left" w:pos="1800"/>
          <w:tab w:val="left" w:pos="5580"/>
        </w:tabs>
        <w:jc w:val="left"/>
        <w:rPr>
          <w:rFonts w:eastAsiaTheme="minorEastAsia"/>
          <w:sz w:val="24"/>
        </w:rPr>
      </w:pPr>
      <w:r>
        <w:rPr>
          <w:rFonts w:hint="eastAsia" w:eastAsiaTheme="minorEastAsia"/>
          <w:color w:val="000000"/>
          <w:sz w:val="24"/>
        </w:rPr>
        <w:t>1.</w:t>
      </w:r>
      <w:r>
        <w:rPr>
          <w:rFonts w:eastAsiaTheme="minorEastAsia"/>
          <w:color w:val="000000"/>
          <w:sz w:val="24"/>
        </w:rPr>
        <w:t xml:space="preserve"> </w:t>
      </w:r>
      <w:r>
        <w:rPr>
          <w:rFonts w:eastAsiaTheme="minorEastAsia"/>
          <w:sz w:val="24"/>
        </w:rPr>
        <w:t>对询价通知书中的所有商务、技术要求，除本表所列明的所有偏离外，均视作供应商已对之理解和</w:t>
      </w:r>
      <w:r>
        <w:rPr>
          <w:rFonts w:hint="eastAsia" w:eastAsiaTheme="minorEastAsia"/>
          <w:sz w:val="24"/>
        </w:rPr>
        <w:t>响应</w:t>
      </w:r>
      <w:r>
        <w:rPr>
          <w:rFonts w:eastAsiaTheme="minorEastAsia"/>
          <w:sz w:val="24"/>
        </w:rPr>
        <w:t>。此表中若无任何文字说明，内容为空白，则</w:t>
      </w:r>
      <w:r>
        <w:rPr>
          <w:rFonts w:eastAsiaTheme="minorEastAsia"/>
          <w:b/>
          <w:sz w:val="24"/>
        </w:rPr>
        <w:t>响应无效</w:t>
      </w:r>
      <w:r>
        <w:rPr>
          <w:rFonts w:eastAsiaTheme="minorEastAsia"/>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pPr>
        <w:tabs>
          <w:tab w:val="left" w:pos="1800"/>
          <w:tab w:val="left" w:pos="5580"/>
        </w:tabs>
        <w:jc w:val="left"/>
        <w:rPr>
          <w:rFonts w:eastAsiaTheme="minorEastAsia"/>
          <w:color w:val="000000"/>
          <w:sz w:val="24"/>
        </w:rPr>
      </w:pPr>
    </w:p>
    <w:p>
      <w:pPr>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    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日期：_____年______月______日   </w:t>
      </w:r>
    </w:p>
    <w:p>
      <w:pPr>
        <w:spacing w:line="360" w:lineRule="auto"/>
        <w:outlineLvl w:val="2"/>
        <w:rPr>
          <w:rFonts w:eastAsiaTheme="minorEastAsia"/>
          <w:b/>
          <w:color w:val="000000"/>
          <w:sz w:val="24"/>
        </w:rPr>
      </w:pPr>
      <w:r>
        <w:rPr>
          <w:rFonts w:eastAsiaTheme="minorEastAsia"/>
          <w:color w:val="000000"/>
          <w:sz w:val="24"/>
          <w:szCs w:val="20"/>
        </w:rPr>
        <w:br w:type="page"/>
      </w:r>
    </w:p>
    <w:p>
      <w:pPr>
        <w:spacing w:line="360" w:lineRule="auto"/>
        <w:outlineLvl w:val="2"/>
        <w:rPr>
          <w:rFonts w:eastAsiaTheme="minorEastAsia"/>
          <w:sz w:val="24"/>
        </w:rPr>
      </w:pPr>
      <w:r>
        <w:rPr>
          <w:rFonts w:eastAsiaTheme="minorEastAsia"/>
          <w:color w:val="000000"/>
          <w:sz w:val="24"/>
          <w:szCs w:val="20"/>
        </w:rPr>
        <w:t>1</w:t>
      </w:r>
      <w:r>
        <w:rPr>
          <w:rFonts w:hint="eastAsia" w:eastAsiaTheme="minorEastAsia"/>
          <w:color w:val="000000"/>
          <w:sz w:val="24"/>
          <w:szCs w:val="20"/>
        </w:rPr>
        <w:t>0</w:t>
      </w:r>
      <w:r>
        <w:rPr>
          <w:rFonts w:eastAsiaTheme="minorEastAsia"/>
          <w:color w:val="000000"/>
          <w:sz w:val="24"/>
          <w:szCs w:val="20"/>
        </w:rPr>
        <w:t xml:space="preserve">  </w:t>
      </w:r>
      <w:r>
        <w:rPr>
          <w:rFonts w:hint="eastAsia" w:eastAsiaTheme="minorEastAsia"/>
          <w:color w:val="000000"/>
          <w:sz w:val="24"/>
          <w:szCs w:val="20"/>
        </w:rPr>
        <w:t>报价产品技术彩页和</w:t>
      </w:r>
      <w:r>
        <w:rPr>
          <w:rFonts w:eastAsiaTheme="minorEastAsia"/>
          <w:color w:val="000000"/>
          <w:sz w:val="24"/>
          <w:szCs w:val="20"/>
        </w:rPr>
        <w:t>供应商认为应附的其他材料</w:t>
      </w:r>
    </w:p>
    <w:sectPr>
      <w:headerReference r:id="rId13" w:type="first"/>
      <w:footerReference r:id="rId15" w:type="first"/>
      <w:headerReference r:id="rId12" w:type="even"/>
      <w:footerReference r:id="rId14" w:type="even"/>
      <w:pgSz w:w="11907" w:h="16840"/>
      <w:pgMar w:top="1440" w:right="1304" w:bottom="1440" w:left="130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382860"/>
    </w:sdtPr>
    <w:sdtEndPr>
      <w:rPr>
        <w:rFonts w:ascii="Times New Roman"/>
      </w:rPr>
    </w:sdtEndPr>
    <w:sdtContent>
      <w:p>
        <w:pPr>
          <w:pStyle w:val="33"/>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13</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2"/>
      </w:rPr>
    </w:pPr>
  </w:p>
  <w:p>
    <w:pPr>
      <w:pStyle w:val="3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3"/>
      <w:ind w:right="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rPr>
      <w:t>中国地质调查局地球物理调查中心政府采购项目询价通知书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60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538" w:hanging="601"/>
      </w:pPr>
      <w:rPr>
        <w:rFonts w:hint="default"/>
        <w:lang w:val="zh-CN" w:eastAsia="zh-CN" w:bidi="zh-CN"/>
      </w:rPr>
    </w:lvl>
    <w:lvl w:ilvl="2" w:tentative="0">
      <w:start w:val="0"/>
      <w:numFmt w:val="bullet"/>
      <w:lvlText w:val="•"/>
      <w:lvlJc w:val="left"/>
      <w:pPr>
        <w:ind w:left="2477" w:hanging="601"/>
      </w:pPr>
      <w:rPr>
        <w:rFonts w:hint="default"/>
        <w:lang w:val="zh-CN" w:eastAsia="zh-CN" w:bidi="zh-CN"/>
      </w:rPr>
    </w:lvl>
    <w:lvl w:ilvl="3" w:tentative="0">
      <w:start w:val="0"/>
      <w:numFmt w:val="bullet"/>
      <w:lvlText w:val="•"/>
      <w:lvlJc w:val="left"/>
      <w:pPr>
        <w:ind w:left="3415" w:hanging="601"/>
      </w:pPr>
      <w:rPr>
        <w:rFonts w:hint="default"/>
        <w:lang w:val="zh-CN" w:eastAsia="zh-CN" w:bidi="zh-CN"/>
      </w:rPr>
    </w:lvl>
    <w:lvl w:ilvl="4" w:tentative="0">
      <w:start w:val="0"/>
      <w:numFmt w:val="bullet"/>
      <w:lvlText w:val="•"/>
      <w:lvlJc w:val="left"/>
      <w:pPr>
        <w:ind w:left="435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231" w:hanging="601"/>
      </w:pPr>
      <w:rPr>
        <w:rFonts w:hint="default"/>
        <w:lang w:val="zh-CN" w:eastAsia="zh-CN" w:bidi="zh-CN"/>
      </w:rPr>
    </w:lvl>
    <w:lvl w:ilvl="7" w:tentative="0">
      <w:start w:val="0"/>
      <w:numFmt w:val="bullet"/>
      <w:lvlText w:val="•"/>
      <w:lvlJc w:val="left"/>
      <w:pPr>
        <w:ind w:left="7170" w:hanging="601"/>
      </w:pPr>
      <w:rPr>
        <w:rFonts w:hint="default"/>
        <w:lang w:val="zh-CN" w:eastAsia="zh-CN" w:bidi="zh-CN"/>
      </w:rPr>
    </w:lvl>
    <w:lvl w:ilvl="8" w:tentative="0">
      <w:start w:val="0"/>
      <w:numFmt w:val="bullet"/>
      <w:lvlText w:val="•"/>
      <w:lvlJc w:val="left"/>
      <w:pPr>
        <w:ind w:left="8109" w:hanging="601"/>
      </w:pPr>
      <w:rPr>
        <w:rFonts w:hint="default"/>
        <w:lang w:val="zh-CN" w:eastAsia="zh-CN" w:bidi="zh-CN"/>
      </w:rPr>
    </w:lvl>
  </w:abstractNum>
  <w:abstractNum w:abstractNumId="1">
    <w:nsid w:val="8CAEB125"/>
    <w:multiLevelType w:val="multilevel"/>
    <w:tmpl w:val="8CAEB125"/>
    <w:lvl w:ilvl="0" w:tentative="0">
      <w:start w:val="1"/>
      <w:numFmt w:val="decimal"/>
      <w:lvlText w:val="（%1）"/>
      <w:lvlJc w:val="left"/>
      <w:pPr>
        <w:ind w:left="1321" w:hanging="601"/>
      </w:pPr>
      <w:rPr>
        <w:rFonts w:hint="default" w:ascii="宋体" w:hAnsi="宋体" w:eastAsia="宋体" w:cs="宋体"/>
        <w:b w:val="0"/>
        <w:bCs w:val="0"/>
        <w:spacing w:val="-1"/>
        <w:w w:val="100"/>
        <w:sz w:val="22"/>
        <w:szCs w:val="22"/>
        <w:lang w:val="zh-CN" w:eastAsia="zh-CN" w:bidi="zh-CN"/>
      </w:rPr>
    </w:lvl>
    <w:lvl w:ilvl="1" w:tentative="0">
      <w:start w:val="1"/>
      <w:numFmt w:val="decimal"/>
      <w:lvlText w:val="（%2）"/>
      <w:lvlJc w:val="left"/>
      <w:pPr>
        <w:ind w:left="600" w:hanging="601"/>
      </w:pPr>
      <w:rPr>
        <w:rFonts w:hint="default" w:ascii="宋体" w:hAnsi="宋体" w:eastAsia="宋体" w:cs="宋体"/>
        <w:w w:val="100"/>
        <w:sz w:val="22"/>
        <w:szCs w:val="22"/>
        <w:lang w:val="zh-CN" w:eastAsia="zh-CN" w:bidi="zh-CN"/>
      </w:rPr>
    </w:lvl>
    <w:lvl w:ilvl="2" w:tentative="0">
      <w:start w:val="0"/>
      <w:numFmt w:val="bullet"/>
      <w:lvlText w:val="•"/>
      <w:lvlJc w:val="left"/>
      <w:pPr>
        <w:ind w:left="2282" w:hanging="601"/>
      </w:pPr>
      <w:rPr>
        <w:rFonts w:hint="default"/>
        <w:lang w:val="zh-CN" w:eastAsia="zh-CN" w:bidi="zh-CN"/>
      </w:rPr>
    </w:lvl>
    <w:lvl w:ilvl="3" w:tentative="0">
      <w:start w:val="0"/>
      <w:numFmt w:val="bullet"/>
      <w:lvlText w:val="•"/>
      <w:lvlJc w:val="left"/>
      <w:pPr>
        <w:ind w:left="3245" w:hanging="601"/>
      </w:pPr>
      <w:rPr>
        <w:rFonts w:hint="default"/>
        <w:lang w:val="zh-CN" w:eastAsia="zh-CN" w:bidi="zh-CN"/>
      </w:rPr>
    </w:lvl>
    <w:lvl w:ilvl="4" w:tentative="0">
      <w:start w:val="0"/>
      <w:numFmt w:val="bullet"/>
      <w:lvlText w:val="•"/>
      <w:lvlJc w:val="left"/>
      <w:pPr>
        <w:ind w:left="4208" w:hanging="601"/>
      </w:pPr>
      <w:rPr>
        <w:rFonts w:hint="default"/>
        <w:lang w:val="zh-CN" w:eastAsia="zh-CN" w:bidi="zh-CN"/>
      </w:rPr>
    </w:lvl>
    <w:lvl w:ilvl="5" w:tentative="0">
      <w:start w:val="0"/>
      <w:numFmt w:val="bullet"/>
      <w:lvlText w:val="•"/>
      <w:lvlJc w:val="left"/>
      <w:pPr>
        <w:ind w:left="5171" w:hanging="601"/>
      </w:pPr>
      <w:rPr>
        <w:rFonts w:hint="default"/>
        <w:lang w:val="zh-CN" w:eastAsia="zh-CN" w:bidi="zh-CN"/>
      </w:rPr>
    </w:lvl>
    <w:lvl w:ilvl="6" w:tentative="0">
      <w:start w:val="0"/>
      <w:numFmt w:val="bullet"/>
      <w:lvlText w:val="•"/>
      <w:lvlJc w:val="left"/>
      <w:pPr>
        <w:ind w:left="6134" w:hanging="601"/>
      </w:pPr>
      <w:rPr>
        <w:rFonts w:hint="default"/>
        <w:lang w:val="zh-CN" w:eastAsia="zh-CN" w:bidi="zh-CN"/>
      </w:rPr>
    </w:lvl>
    <w:lvl w:ilvl="7" w:tentative="0">
      <w:start w:val="0"/>
      <w:numFmt w:val="bullet"/>
      <w:lvlText w:val="•"/>
      <w:lvlJc w:val="left"/>
      <w:pPr>
        <w:ind w:left="7097" w:hanging="601"/>
      </w:pPr>
      <w:rPr>
        <w:rFonts w:hint="default"/>
        <w:lang w:val="zh-CN" w:eastAsia="zh-CN" w:bidi="zh-CN"/>
      </w:rPr>
    </w:lvl>
    <w:lvl w:ilvl="8" w:tentative="0">
      <w:start w:val="0"/>
      <w:numFmt w:val="bullet"/>
      <w:lvlText w:val="•"/>
      <w:lvlJc w:val="left"/>
      <w:pPr>
        <w:ind w:left="8060" w:hanging="601"/>
      </w:pPr>
      <w:rPr>
        <w:rFonts w:hint="default"/>
        <w:lang w:val="zh-CN" w:eastAsia="zh-CN" w:bidi="zh-CN"/>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9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6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37"/>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8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9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195"/>
      <w:lvlText w:val="%1"/>
      <w:lvlJc w:val="left"/>
      <w:pPr>
        <w:ind w:left="680" w:hanging="680"/>
      </w:pPr>
      <w:rPr>
        <w:rFonts w:hint="eastAsia" w:ascii="宋体" w:hAnsi="宋体" w:eastAsia="宋体"/>
      </w:rPr>
    </w:lvl>
    <w:lvl w:ilvl="1" w:tentative="0">
      <w:start w:val="1"/>
      <w:numFmt w:val="decimal"/>
      <w:pStyle w:val="196"/>
      <w:lvlText w:val="%1.%2"/>
      <w:lvlJc w:val="left"/>
      <w:pPr>
        <w:ind w:left="851" w:hanging="851"/>
      </w:pPr>
      <w:rPr>
        <w:rFonts w:hint="eastAsia" w:ascii="宋体" w:hAnsi="宋体" w:eastAsia="宋体"/>
        <w:color w:val="auto"/>
      </w:rPr>
    </w:lvl>
    <w:lvl w:ilvl="2" w:tentative="0">
      <w:start w:val="1"/>
      <w:numFmt w:val="decimal"/>
      <w:pStyle w:val="19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CDE60F"/>
    <w:multiLevelType w:val="multilevel"/>
    <w:tmpl w:val="1ACDE60F"/>
    <w:lvl w:ilvl="0" w:tentative="0">
      <w:start w:val="1"/>
      <w:numFmt w:val="decimal"/>
      <w:lvlText w:val="（%1）"/>
      <w:lvlJc w:val="left"/>
      <w:pPr>
        <w:ind w:left="1440" w:hanging="720"/>
      </w:pPr>
      <w:rPr>
        <w:rFonts w:hint="default" w:ascii="宋体" w:hAnsi="宋体" w:eastAsia="宋体" w:cs="宋体"/>
        <w:b w:val="0"/>
        <w:bCs w:val="0"/>
        <w:spacing w:val="-1"/>
        <w:w w:val="100"/>
        <w:sz w:val="24"/>
        <w:szCs w:val="24"/>
        <w:lang w:val="zh-CN" w:eastAsia="zh-CN" w:bidi="zh-CN"/>
      </w:rPr>
    </w:lvl>
    <w:lvl w:ilvl="1" w:tentative="0">
      <w:start w:val="0"/>
      <w:numFmt w:val="bullet"/>
      <w:lvlText w:val="•"/>
      <w:lvlJc w:val="left"/>
      <w:pPr>
        <w:ind w:left="2294" w:hanging="720"/>
      </w:pPr>
      <w:rPr>
        <w:rFonts w:hint="default"/>
        <w:lang w:val="zh-CN" w:eastAsia="zh-CN" w:bidi="zh-CN"/>
      </w:rPr>
    </w:lvl>
    <w:lvl w:ilvl="2" w:tentative="0">
      <w:start w:val="0"/>
      <w:numFmt w:val="bullet"/>
      <w:lvlText w:val="•"/>
      <w:lvlJc w:val="left"/>
      <w:pPr>
        <w:ind w:left="3149" w:hanging="720"/>
      </w:pPr>
      <w:rPr>
        <w:rFonts w:hint="default"/>
        <w:lang w:val="zh-CN" w:eastAsia="zh-CN" w:bidi="zh-CN"/>
      </w:rPr>
    </w:lvl>
    <w:lvl w:ilvl="3" w:tentative="0">
      <w:start w:val="0"/>
      <w:numFmt w:val="bullet"/>
      <w:lvlText w:val="•"/>
      <w:lvlJc w:val="left"/>
      <w:pPr>
        <w:ind w:left="4003" w:hanging="720"/>
      </w:pPr>
      <w:rPr>
        <w:rFonts w:hint="default"/>
        <w:lang w:val="zh-CN" w:eastAsia="zh-CN" w:bidi="zh-CN"/>
      </w:rPr>
    </w:lvl>
    <w:lvl w:ilvl="4" w:tentative="0">
      <w:start w:val="0"/>
      <w:numFmt w:val="bullet"/>
      <w:lvlText w:val="•"/>
      <w:lvlJc w:val="left"/>
      <w:pPr>
        <w:ind w:left="4858" w:hanging="720"/>
      </w:pPr>
      <w:rPr>
        <w:rFonts w:hint="default"/>
        <w:lang w:val="zh-CN" w:eastAsia="zh-CN" w:bidi="zh-CN"/>
      </w:rPr>
    </w:lvl>
    <w:lvl w:ilvl="5" w:tentative="0">
      <w:start w:val="0"/>
      <w:numFmt w:val="bullet"/>
      <w:lvlText w:val="•"/>
      <w:lvlJc w:val="left"/>
      <w:pPr>
        <w:ind w:left="5713" w:hanging="720"/>
      </w:pPr>
      <w:rPr>
        <w:rFonts w:hint="default"/>
        <w:lang w:val="zh-CN" w:eastAsia="zh-CN" w:bidi="zh-CN"/>
      </w:rPr>
    </w:lvl>
    <w:lvl w:ilvl="6" w:tentative="0">
      <w:start w:val="0"/>
      <w:numFmt w:val="bullet"/>
      <w:lvlText w:val="•"/>
      <w:lvlJc w:val="left"/>
      <w:pPr>
        <w:ind w:left="6567" w:hanging="720"/>
      </w:pPr>
      <w:rPr>
        <w:rFonts w:hint="default"/>
        <w:lang w:val="zh-CN" w:eastAsia="zh-CN" w:bidi="zh-CN"/>
      </w:rPr>
    </w:lvl>
    <w:lvl w:ilvl="7" w:tentative="0">
      <w:start w:val="0"/>
      <w:numFmt w:val="bullet"/>
      <w:lvlText w:val="•"/>
      <w:lvlJc w:val="left"/>
      <w:pPr>
        <w:ind w:left="7422" w:hanging="720"/>
      </w:pPr>
      <w:rPr>
        <w:rFonts w:hint="default"/>
        <w:lang w:val="zh-CN" w:eastAsia="zh-CN" w:bidi="zh-CN"/>
      </w:rPr>
    </w:lvl>
    <w:lvl w:ilvl="8" w:tentative="0">
      <w:start w:val="0"/>
      <w:numFmt w:val="bullet"/>
      <w:lvlText w:val="•"/>
      <w:lvlJc w:val="left"/>
      <w:pPr>
        <w:ind w:left="8277" w:hanging="720"/>
      </w:pPr>
      <w:rPr>
        <w:rFonts w:hint="default"/>
        <w:lang w:val="zh-CN" w:eastAsia="zh-CN" w:bidi="zh-CN"/>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22D85CA"/>
    <w:multiLevelType w:val="multilevel"/>
    <w:tmpl w:val="322D85CA"/>
    <w:lvl w:ilvl="0" w:tentative="0">
      <w:start w:val="1"/>
      <w:numFmt w:val="decimal"/>
      <w:lvlText w:val="%1."/>
      <w:lvlJc w:val="left"/>
      <w:pPr>
        <w:ind w:left="600" w:hanging="365"/>
      </w:pPr>
      <w:rPr>
        <w:rFonts w:hint="default" w:ascii="宋体" w:hAnsi="宋体" w:eastAsia="宋体" w:cs="宋体"/>
        <w:b/>
        <w:bCs/>
        <w:spacing w:val="2"/>
        <w:w w:val="99"/>
        <w:sz w:val="22"/>
        <w:szCs w:val="22"/>
        <w:lang w:val="zh-CN" w:eastAsia="zh-CN" w:bidi="zh-CN"/>
      </w:rPr>
    </w:lvl>
    <w:lvl w:ilvl="1" w:tentative="0">
      <w:start w:val="0"/>
      <w:numFmt w:val="bullet"/>
      <w:lvlText w:val="•"/>
      <w:lvlJc w:val="left"/>
      <w:pPr>
        <w:ind w:left="1538" w:hanging="365"/>
      </w:pPr>
      <w:rPr>
        <w:rFonts w:hint="default"/>
        <w:lang w:val="zh-CN" w:eastAsia="zh-CN" w:bidi="zh-CN"/>
      </w:rPr>
    </w:lvl>
    <w:lvl w:ilvl="2" w:tentative="0">
      <w:start w:val="0"/>
      <w:numFmt w:val="bullet"/>
      <w:lvlText w:val="•"/>
      <w:lvlJc w:val="left"/>
      <w:pPr>
        <w:ind w:left="2477" w:hanging="365"/>
      </w:pPr>
      <w:rPr>
        <w:rFonts w:hint="default"/>
        <w:lang w:val="zh-CN" w:eastAsia="zh-CN" w:bidi="zh-CN"/>
      </w:rPr>
    </w:lvl>
    <w:lvl w:ilvl="3" w:tentative="0">
      <w:start w:val="0"/>
      <w:numFmt w:val="bullet"/>
      <w:lvlText w:val="•"/>
      <w:lvlJc w:val="left"/>
      <w:pPr>
        <w:ind w:left="3415" w:hanging="365"/>
      </w:pPr>
      <w:rPr>
        <w:rFonts w:hint="default"/>
        <w:lang w:val="zh-CN" w:eastAsia="zh-CN" w:bidi="zh-CN"/>
      </w:rPr>
    </w:lvl>
    <w:lvl w:ilvl="4" w:tentative="0">
      <w:start w:val="0"/>
      <w:numFmt w:val="bullet"/>
      <w:lvlText w:val="•"/>
      <w:lvlJc w:val="left"/>
      <w:pPr>
        <w:ind w:left="4354" w:hanging="365"/>
      </w:pPr>
      <w:rPr>
        <w:rFonts w:hint="default"/>
        <w:lang w:val="zh-CN" w:eastAsia="zh-CN" w:bidi="zh-CN"/>
      </w:rPr>
    </w:lvl>
    <w:lvl w:ilvl="5" w:tentative="0">
      <w:start w:val="0"/>
      <w:numFmt w:val="bullet"/>
      <w:lvlText w:val="•"/>
      <w:lvlJc w:val="left"/>
      <w:pPr>
        <w:ind w:left="5293" w:hanging="365"/>
      </w:pPr>
      <w:rPr>
        <w:rFonts w:hint="default"/>
        <w:lang w:val="zh-CN" w:eastAsia="zh-CN" w:bidi="zh-CN"/>
      </w:rPr>
    </w:lvl>
    <w:lvl w:ilvl="6" w:tentative="0">
      <w:start w:val="0"/>
      <w:numFmt w:val="bullet"/>
      <w:lvlText w:val="•"/>
      <w:lvlJc w:val="left"/>
      <w:pPr>
        <w:ind w:left="6231" w:hanging="365"/>
      </w:pPr>
      <w:rPr>
        <w:rFonts w:hint="default"/>
        <w:lang w:val="zh-CN" w:eastAsia="zh-CN" w:bidi="zh-CN"/>
      </w:rPr>
    </w:lvl>
    <w:lvl w:ilvl="7" w:tentative="0">
      <w:start w:val="0"/>
      <w:numFmt w:val="bullet"/>
      <w:lvlText w:val="•"/>
      <w:lvlJc w:val="left"/>
      <w:pPr>
        <w:ind w:left="7170" w:hanging="365"/>
      </w:pPr>
      <w:rPr>
        <w:rFonts w:hint="default"/>
        <w:lang w:val="zh-CN" w:eastAsia="zh-CN" w:bidi="zh-CN"/>
      </w:rPr>
    </w:lvl>
    <w:lvl w:ilvl="8" w:tentative="0">
      <w:start w:val="0"/>
      <w:numFmt w:val="bullet"/>
      <w:lvlText w:val="•"/>
      <w:lvlJc w:val="left"/>
      <w:pPr>
        <w:ind w:left="8109" w:hanging="365"/>
      </w:pPr>
      <w:rPr>
        <w:rFonts w:hint="default"/>
        <w:lang w:val="zh-CN" w:eastAsia="zh-CN" w:bidi="zh-CN"/>
      </w:rPr>
    </w:lvl>
  </w:abstractNum>
  <w:abstractNum w:abstractNumId="15">
    <w:nsid w:val="42D22EAE"/>
    <w:multiLevelType w:val="multilevel"/>
    <w:tmpl w:val="42D22EAE"/>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C3D7A74"/>
    <w:multiLevelType w:val="multilevel"/>
    <w:tmpl w:val="4C3D7A74"/>
    <w:lvl w:ilvl="0" w:tentative="0">
      <w:start w:val="1"/>
      <w:numFmt w:val="decimal"/>
      <w:lvlText w:val="%1."/>
      <w:lvlJc w:val="left"/>
      <w:pPr>
        <w:ind w:left="600" w:hanging="365"/>
      </w:pPr>
      <w:rPr>
        <w:rFonts w:hint="default" w:ascii="宋体" w:hAnsi="宋体" w:eastAsia="宋体" w:cs="宋体"/>
        <w:b/>
        <w:bCs/>
        <w:spacing w:val="2"/>
        <w:w w:val="99"/>
        <w:sz w:val="22"/>
        <w:szCs w:val="22"/>
        <w:lang w:val="zh-CN" w:eastAsia="zh-CN" w:bidi="zh-CN"/>
      </w:rPr>
    </w:lvl>
    <w:lvl w:ilvl="1" w:tentative="0">
      <w:start w:val="0"/>
      <w:numFmt w:val="bullet"/>
      <w:lvlText w:val="•"/>
      <w:lvlJc w:val="left"/>
      <w:pPr>
        <w:ind w:left="1538" w:hanging="365"/>
      </w:pPr>
      <w:rPr>
        <w:rFonts w:hint="default"/>
        <w:lang w:val="zh-CN" w:eastAsia="zh-CN" w:bidi="zh-CN"/>
      </w:rPr>
    </w:lvl>
    <w:lvl w:ilvl="2" w:tentative="0">
      <w:start w:val="0"/>
      <w:numFmt w:val="bullet"/>
      <w:lvlText w:val="•"/>
      <w:lvlJc w:val="left"/>
      <w:pPr>
        <w:ind w:left="2477" w:hanging="365"/>
      </w:pPr>
      <w:rPr>
        <w:rFonts w:hint="default"/>
        <w:lang w:val="zh-CN" w:eastAsia="zh-CN" w:bidi="zh-CN"/>
      </w:rPr>
    </w:lvl>
    <w:lvl w:ilvl="3" w:tentative="0">
      <w:start w:val="0"/>
      <w:numFmt w:val="bullet"/>
      <w:lvlText w:val="•"/>
      <w:lvlJc w:val="left"/>
      <w:pPr>
        <w:ind w:left="3415" w:hanging="365"/>
      </w:pPr>
      <w:rPr>
        <w:rFonts w:hint="default"/>
        <w:lang w:val="zh-CN" w:eastAsia="zh-CN" w:bidi="zh-CN"/>
      </w:rPr>
    </w:lvl>
    <w:lvl w:ilvl="4" w:tentative="0">
      <w:start w:val="0"/>
      <w:numFmt w:val="bullet"/>
      <w:lvlText w:val="•"/>
      <w:lvlJc w:val="left"/>
      <w:pPr>
        <w:ind w:left="4354" w:hanging="365"/>
      </w:pPr>
      <w:rPr>
        <w:rFonts w:hint="default"/>
        <w:lang w:val="zh-CN" w:eastAsia="zh-CN" w:bidi="zh-CN"/>
      </w:rPr>
    </w:lvl>
    <w:lvl w:ilvl="5" w:tentative="0">
      <w:start w:val="0"/>
      <w:numFmt w:val="bullet"/>
      <w:lvlText w:val="•"/>
      <w:lvlJc w:val="left"/>
      <w:pPr>
        <w:ind w:left="5293" w:hanging="365"/>
      </w:pPr>
      <w:rPr>
        <w:rFonts w:hint="default"/>
        <w:lang w:val="zh-CN" w:eastAsia="zh-CN" w:bidi="zh-CN"/>
      </w:rPr>
    </w:lvl>
    <w:lvl w:ilvl="6" w:tentative="0">
      <w:start w:val="0"/>
      <w:numFmt w:val="bullet"/>
      <w:lvlText w:val="•"/>
      <w:lvlJc w:val="left"/>
      <w:pPr>
        <w:ind w:left="6231" w:hanging="365"/>
      </w:pPr>
      <w:rPr>
        <w:rFonts w:hint="default"/>
        <w:lang w:val="zh-CN" w:eastAsia="zh-CN" w:bidi="zh-CN"/>
      </w:rPr>
    </w:lvl>
    <w:lvl w:ilvl="7" w:tentative="0">
      <w:start w:val="0"/>
      <w:numFmt w:val="bullet"/>
      <w:lvlText w:val="•"/>
      <w:lvlJc w:val="left"/>
      <w:pPr>
        <w:ind w:left="7170" w:hanging="365"/>
      </w:pPr>
      <w:rPr>
        <w:rFonts w:hint="default"/>
        <w:lang w:val="zh-CN" w:eastAsia="zh-CN" w:bidi="zh-CN"/>
      </w:rPr>
    </w:lvl>
    <w:lvl w:ilvl="8" w:tentative="0">
      <w:start w:val="0"/>
      <w:numFmt w:val="bullet"/>
      <w:lvlText w:val="•"/>
      <w:lvlJc w:val="left"/>
      <w:pPr>
        <w:ind w:left="8109" w:hanging="365"/>
      </w:pPr>
      <w:rPr>
        <w:rFonts w:hint="default"/>
        <w:lang w:val="zh-CN" w:eastAsia="zh-CN" w:bidi="zh-CN"/>
      </w:rPr>
    </w:lvl>
  </w:abstractNum>
  <w:abstractNum w:abstractNumId="17">
    <w:nsid w:val="5E29AB5A"/>
    <w:multiLevelType w:val="multilevel"/>
    <w:tmpl w:val="5E29AB5A"/>
    <w:lvl w:ilvl="0" w:tentative="0">
      <w:start w:val="1"/>
      <w:numFmt w:val="decimal"/>
      <w:lvlText w:val="%1."/>
      <w:lvlJc w:val="left"/>
      <w:pPr>
        <w:ind w:left="962" w:hanging="363"/>
      </w:pPr>
      <w:rPr>
        <w:rFonts w:hint="default" w:ascii="宋体" w:hAnsi="宋体" w:eastAsia="宋体" w:cs="宋体"/>
        <w:b/>
        <w:bCs/>
        <w:spacing w:val="0"/>
        <w:w w:val="99"/>
        <w:sz w:val="24"/>
        <w:szCs w:val="24"/>
        <w:lang w:val="zh-CN" w:eastAsia="zh-CN" w:bidi="zh-CN"/>
      </w:rPr>
    </w:lvl>
    <w:lvl w:ilvl="1" w:tentative="0">
      <w:start w:val="1"/>
      <w:numFmt w:val="decimal"/>
      <w:lvlText w:val="（%2）"/>
      <w:lvlJc w:val="left"/>
      <w:pPr>
        <w:ind w:left="600" w:hanging="601"/>
      </w:pPr>
      <w:rPr>
        <w:rFonts w:hint="default" w:ascii="宋体" w:hAnsi="宋体" w:eastAsia="宋体" w:cs="宋体"/>
        <w:w w:val="100"/>
        <w:sz w:val="22"/>
        <w:szCs w:val="22"/>
        <w:lang w:val="zh-CN" w:eastAsia="zh-CN" w:bidi="zh-CN"/>
      </w:rPr>
    </w:lvl>
    <w:lvl w:ilvl="2" w:tentative="0">
      <w:start w:val="0"/>
      <w:numFmt w:val="bullet"/>
      <w:lvlText w:val="•"/>
      <w:lvlJc w:val="left"/>
      <w:pPr>
        <w:ind w:left="1962" w:hanging="601"/>
      </w:pPr>
      <w:rPr>
        <w:rFonts w:hint="default"/>
        <w:lang w:val="zh-CN" w:eastAsia="zh-CN" w:bidi="zh-CN"/>
      </w:rPr>
    </w:lvl>
    <w:lvl w:ilvl="3" w:tentative="0">
      <w:start w:val="0"/>
      <w:numFmt w:val="bullet"/>
      <w:lvlText w:val="•"/>
      <w:lvlJc w:val="left"/>
      <w:pPr>
        <w:ind w:left="2965" w:hanging="601"/>
      </w:pPr>
      <w:rPr>
        <w:rFonts w:hint="default"/>
        <w:lang w:val="zh-CN" w:eastAsia="zh-CN" w:bidi="zh-CN"/>
      </w:rPr>
    </w:lvl>
    <w:lvl w:ilvl="4" w:tentative="0">
      <w:start w:val="0"/>
      <w:numFmt w:val="bullet"/>
      <w:lvlText w:val="•"/>
      <w:lvlJc w:val="left"/>
      <w:pPr>
        <w:ind w:left="3968" w:hanging="601"/>
      </w:pPr>
      <w:rPr>
        <w:rFonts w:hint="default"/>
        <w:lang w:val="zh-CN" w:eastAsia="zh-CN" w:bidi="zh-CN"/>
      </w:rPr>
    </w:lvl>
    <w:lvl w:ilvl="5" w:tentative="0">
      <w:start w:val="0"/>
      <w:numFmt w:val="bullet"/>
      <w:lvlText w:val="•"/>
      <w:lvlJc w:val="left"/>
      <w:pPr>
        <w:ind w:left="4971" w:hanging="601"/>
      </w:pPr>
      <w:rPr>
        <w:rFonts w:hint="default"/>
        <w:lang w:val="zh-CN" w:eastAsia="zh-CN" w:bidi="zh-CN"/>
      </w:rPr>
    </w:lvl>
    <w:lvl w:ilvl="6" w:tentative="0">
      <w:start w:val="0"/>
      <w:numFmt w:val="bullet"/>
      <w:lvlText w:val="•"/>
      <w:lvlJc w:val="left"/>
      <w:pPr>
        <w:ind w:left="5974" w:hanging="601"/>
      </w:pPr>
      <w:rPr>
        <w:rFonts w:hint="default"/>
        <w:lang w:val="zh-CN" w:eastAsia="zh-CN" w:bidi="zh-CN"/>
      </w:rPr>
    </w:lvl>
    <w:lvl w:ilvl="7" w:tentative="0">
      <w:start w:val="0"/>
      <w:numFmt w:val="bullet"/>
      <w:lvlText w:val="•"/>
      <w:lvlJc w:val="left"/>
      <w:pPr>
        <w:ind w:left="6977" w:hanging="601"/>
      </w:pPr>
      <w:rPr>
        <w:rFonts w:hint="default"/>
        <w:lang w:val="zh-CN" w:eastAsia="zh-CN" w:bidi="zh-CN"/>
      </w:rPr>
    </w:lvl>
    <w:lvl w:ilvl="8" w:tentative="0">
      <w:start w:val="0"/>
      <w:numFmt w:val="bullet"/>
      <w:lvlText w:val="•"/>
      <w:lvlJc w:val="left"/>
      <w:pPr>
        <w:ind w:left="7980" w:hanging="601"/>
      </w:pPr>
      <w:rPr>
        <w:rFonts w:hint="default"/>
        <w:lang w:val="zh-CN" w:eastAsia="zh-CN" w:bidi="zh-CN"/>
      </w:rPr>
    </w:lvl>
  </w:abstractNum>
  <w:abstractNum w:abstractNumId="18">
    <w:nsid w:val="5FFFB1A7"/>
    <w:multiLevelType w:val="multilevel"/>
    <w:tmpl w:val="5FFFB1A7"/>
    <w:lvl w:ilvl="0" w:tentative="0">
      <w:start w:val="1"/>
      <w:numFmt w:val="decimal"/>
      <w:lvlText w:val="%1."/>
      <w:lvlJc w:val="left"/>
      <w:pPr>
        <w:ind w:left="600" w:hanging="365"/>
      </w:pPr>
      <w:rPr>
        <w:rFonts w:hint="default" w:ascii="宋体" w:hAnsi="宋体" w:eastAsia="宋体" w:cs="宋体"/>
        <w:b/>
        <w:bCs/>
        <w:spacing w:val="2"/>
        <w:w w:val="99"/>
        <w:sz w:val="22"/>
        <w:szCs w:val="22"/>
        <w:lang w:val="zh-CN" w:eastAsia="zh-CN" w:bidi="zh-CN"/>
      </w:rPr>
    </w:lvl>
    <w:lvl w:ilvl="1" w:tentative="0">
      <w:start w:val="1"/>
      <w:numFmt w:val="decimal"/>
      <w:lvlText w:val="（%2）"/>
      <w:lvlJc w:val="left"/>
      <w:pPr>
        <w:ind w:left="1884" w:hanging="608"/>
      </w:pPr>
      <w:rPr>
        <w:rFonts w:hint="default" w:ascii="宋体" w:hAnsi="宋体" w:eastAsia="宋体" w:cs="宋体"/>
        <w:spacing w:val="-20"/>
        <w:w w:val="100"/>
        <w:sz w:val="22"/>
        <w:szCs w:val="22"/>
        <w:lang w:val="zh-CN" w:eastAsia="zh-CN" w:bidi="zh-CN"/>
      </w:rPr>
    </w:lvl>
    <w:lvl w:ilvl="2" w:tentative="0">
      <w:start w:val="0"/>
      <w:numFmt w:val="bullet"/>
      <w:lvlText w:val="•"/>
      <w:lvlJc w:val="left"/>
      <w:pPr>
        <w:ind w:left="2477" w:hanging="608"/>
      </w:pPr>
      <w:rPr>
        <w:rFonts w:hint="default"/>
        <w:lang w:val="zh-CN" w:eastAsia="zh-CN" w:bidi="zh-CN"/>
      </w:rPr>
    </w:lvl>
    <w:lvl w:ilvl="3" w:tentative="0">
      <w:start w:val="0"/>
      <w:numFmt w:val="bullet"/>
      <w:lvlText w:val="•"/>
      <w:lvlJc w:val="left"/>
      <w:pPr>
        <w:ind w:left="3415" w:hanging="608"/>
      </w:pPr>
      <w:rPr>
        <w:rFonts w:hint="default"/>
        <w:lang w:val="zh-CN" w:eastAsia="zh-CN" w:bidi="zh-CN"/>
      </w:rPr>
    </w:lvl>
    <w:lvl w:ilvl="4" w:tentative="0">
      <w:start w:val="0"/>
      <w:numFmt w:val="bullet"/>
      <w:lvlText w:val="•"/>
      <w:lvlJc w:val="left"/>
      <w:pPr>
        <w:ind w:left="4354" w:hanging="608"/>
      </w:pPr>
      <w:rPr>
        <w:rFonts w:hint="default"/>
        <w:lang w:val="zh-CN" w:eastAsia="zh-CN" w:bidi="zh-CN"/>
      </w:rPr>
    </w:lvl>
    <w:lvl w:ilvl="5" w:tentative="0">
      <w:start w:val="0"/>
      <w:numFmt w:val="bullet"/>
      <w:lvlText w:val="•"/>
      <w:lvlJc w:val="left"/>
      <w:pPr>
        <w:ind w:left="5293" w:hanging="608"/>
      </w:pPr>
      <w:rPr>
        <w:rFonts w:hint="default"/>
        <w:lang w:val="zh-CN" w:eastAsia="zh-CN" w:bidi="zh-CN"/>
      </w:rPr>
    </w:lvl>
    <w:lvl w:ilvl="6" w:tentative="0">
      <w:start w:val="0"/>
      <w:numFmt w:val="bullet"/>
      <w:lvlText w:val="•"/>
      <w:lvlJc w:val="left"/>
      <w:pPr>
        <w:ind w:left="6231" w:hanging="608"/>
      </w:pPr>
      <w:rPr>
        <w:rFonts w:hint="default"/>
        <w:lang w:val="zh-CN" w:eastAsia="zh-CN" w:bidi="zh-CN"/>
      </w:rPr>
    </w:lvl>
    <w:lvl w:ilvl="7" w:tentative="0">
      <w:start w:val="0"/>
      <w:numFmt w:val="bullet"/>
      <w:lvlText w:val="•"/>
      <w:lvlJc w:val="left"/>
      <w:pPr>
        <w:ind w:left="7170" w:hanging="608"/>
      </w:pPr>
      <w:rPr>
        <w:rFonts w:hint="default"/>
        <w:lang w:val="zh-CN" w:eastAsia="zh-CN" w:bidi="zh-CN"/>
      </w:rPr>
    </w:lvl>
    <w:lvl w:ilvl="8" w:tentative="0">
      <w:start w:val="0"/>
      <w:numFmt w:val="bullet"/>
      <w:lvlText w:val="•"/>
      <w:lvlJc w:val="left"/>
      <w:pPr>
        <w:ind w:left="8109" w:hanging="608"/>
      </w:pPr>
      <w:rPr>
        <w:rFonts w:hint="default"/>
        <w:lang w:val="zh-CN" w:eastAsia="zh-CN" w:bidi="zh-CN"/>
      </w:rPr>
    </w:lvl>
  </w:abstractNum>
  <w:abstractNum w:abstractNumId="19">
    <w:nsid w:val="74C28B35"/>
    <w:multiLevelType w:val="multilevel"/>
    <w:tmpl w:val="74C28B35"/>
    <w:lvl w:ilvl="0" w:tentative="0">
      <w:start w:val="1"/>
      <w:numFmt w:val="decimal"/>
      <w:lvlText w:val="%1."/>
      <w:lvlJc w:val="left"/>
      <w:pPr>
        <w:ind w:left="600" w:hanging="365"/>
      </w:pPr>
      <w:rPr>
        <w:rFonts w:hint="default" w:ascii="宋体" w:hAnsi="宋体" w:eastAsia="宋体" w:cs="宋体"/>
        <w:b/>
        <w:bCs/>
        <w:spacing w:val="2"/>
        <w:w w:val="99"/>
        <w:sz w:val="22"/>
        <w:szCs w:val="22"/>
        <w:lang w:val="zh-CN" w:eastAsia="zh-CN" w:bidi="zh-CN"/>
      </w:rPr>
    </w:lvl>
    <w:lvl w:ilvl="1" w:tentative="0">
      <w:start w:val="0"/>
      <w:numFmt w:val="bullet"/>
      <w:lvlText w:val="•"/>
      <w:lvlJc w:val="left"/>
      <w:pPr>
        <w:ind w:left="1538" w:hanging="365"/>
      </w:pPr>
      <w:rPr>
        <w:rFonts w:hint="default"/>
        <w:lang w:val="zh-CN" w:eastAsia="zh-CN" w:bidi="zh-CN"/>
      </w:rPr>
    </w:lvl>
    <w:lvl w:ilvl="2" w:tentative="0">
      <w:start w:val="0"/>
      <w:numFmt w:val="bullet"/>
      <w:lvlText w:val="•"/>
      <w:lvlJc w:val="left"/>
      <w:pPr>
        <w:ind w:left="2477" w:hanging="365"/>
      </w:pPr>
      <w:rPr>
        <w:rFonts w:hint="default"/>
        <w:lang w:val="zh-CN" w:eastAsia="zh-CN" w:bidi="zh-CN"/>
      </w:rPr>
    </w:lvl>
    <w:lvl w:ilvl="3" w:tentative="0">
      <w:start w:val="0"/>
      <w:numFmt w:val="bullet"/>
      <w:lvlText w:val="•"/>
      <w:lvlJc w:val="left"/>
      <w:pPr>
        <w:ind w:left="3415" w:hanging="365"/>
      </w:pPr>
      <w:rPr>
        <w:rFonts w:hint="default"/>
        <w:lang w:val="zh-CN" w:eastAsia="zh-CN" w:bidi="zh-CN"/>
      </w:rPr>
    </w:lvl>
    <w:lvl w:ilvl="4" w:tentative="0">
      <w:start w:val="0"/>
      <w:numFmt w:val="bullet"/>
      <w:lvlText w:val="•"/>
      <w:lvlJc w:val="left"/>
      <w:pPr>
        <w:ind w:left="4354" w:hanging="365"/>
      </w:pPr>
      <w:rPr>
        <w:rFonts w:hint="default"/>
        <w:lang w:val="zh-CN" w:eastAsia="zh-CN" w:bidi="zh-CN"/>
      </w:rPr>
    </w:lvl>
    <w:lvl w:ilvl="5" w:tentative="0">
      <w:start w:val="0"/>
      <w:numFmt w:val="bullet"/>
      <w:lvlText w:val="•"/>
      <w:lvlJc w:val="left"/>
      <w:pPr>
        <w:ind w:left="5293" w:hanging="365"/>
      </w:pPr>
      <w:rPr>
        <w:rFonts w:hint="default"/>
        <w:lang w:val="zh-CN" w:eastAsia="zh-CN" w:bidi="zh-CN"/>
      </w:rPr>
    </w:lvl>
    <w:lvl w:ilvl="6" w:tentative="0">
      <w:start w:val="0"/>
      <w:numFmt w:val="bullet"/>
      <w:lvlText w:val="•"/>
      <w:lvlJc w:val="left"/>
      <w:pPr>
        <w:ind w:left="6231" w:hanging="365"/>
      </w:pPr>
      <w:rPr>
        <w:rFonts w:hint="default"/>
        <w:lang w:val="zh-CN" w:eastAsia="zh-CN" w:bidi="zh-CN"/>
      </w:rPr>
    </w:lvl>
    <w:lvl w:ilvl="7" w:tentative="0">
      <w:start w:val="0"/>
      <w:numFmt w:val="bullet"/>
      <w:lvlText w:val="•"/>
      <w:lvlJc w:val="left"/>
      <w:pPr>
        <w:ind w:left="7170" w:hanging="365"/>
      </w:pPr>
      <w:rPr>
        <w:rFonts w:hint="default"/>
        <w:lang w:val="zh-CN" w:eastAsia="zh-CN" w:bidi="zh-CN"/>
      </w:rPr>
    </w:lvl>
    <w:lvl w:ilvl="8" w:tentative="0">
      <w:start w:val="0"/>
      <w:numFmt w:val="bullet"/>
      <w:lvlText w:val="•"/>
      <w:lvlJc w:val="left"/>
      <w:pPr>
        <w:ind w:left="8109" w:hanging="365"/>
      </w:pPr>
      <w:rPr>
        <w:rFonts w:hint="default"/>
        <w:lang w:val="zh-CN" w:eastAsia="zh-CN" w:bidi="zh-CN"/>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2"/>
  </w:num>
  <w:num w:numId="10">
    <w:abstractNumId w:val="15"/>
  </w:num>
  <w:num w:numId="11">
    <w:abstractNumId w:val="11"/>
  </w:num>
  <w:num w:numId="12">
    <w:abstractNumId w:val="18"/>
  </w:num>
  <w:num w:numId="13">
    <w:abstractNumId w:val="17"/>
  </w:num>
  <w:num w:numId="14">
    <w:abstractNumId w:val="0"/>
  </w:num>
  <w:num w:numId="15">
    <w:abstractNumId w:val="12"/>
  </w:num>
  <w:num w:numId="16">
    <w:abstractNumId w:val="1"/>
  </w:num>
  <w:num w:numId="17">
    <w:abstractNumId w:val="19"/>
  </w:num>
  <w:num w:numId="18">
    <w:abstractNumId w:val="16"/>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jQwY2IyYTgwMzZlY2NjZWY3Y2QwZDQ1MzUwOTcwNjcifQ=="/>
    <w:docVar w:name="KSO_WPS_MARK_KEY" w:val="7c3eb3df-3a3d-4741-b6ee-45f36210d5c0"/>
    <w:docVar w:name="VTCASE" w:val="4"/>
    <w:docVar w:name="VTCommandPending" w:val="NONE"/>
  </w:docVars>
  <w:rsids>
    <w:rsidRoot w:val="00172A27"/>
    <w:rsid w:val="00000277"/>
    <w:rsid w:val="000002C4"/>
    <w:rsid w:val="00000368"/>
    <w:rsid w:val="00000432"/>
    <w:rsid w:val="00000448"/>
    <w:rsid w:val="00000905"/>
    <w:rsid w:val="0000098E"/>
    <w:rsid w:val="00000CCE"/>
    <w:rsid w:val="00000DF5"/>
    <w:rsid w:val="00000F3F"/>
    <w:rsid w:val="00001711"/>
    <w:rsid w:val="00001895"/>
    <w:rsid w:val="00001948"/>
    <w:rsid w:val="00001F9C"/>
    <w:rsid w:val="00001FE9"/>
    <w:rsid w:val="000020BD"/>
    <w:rsid w:val="0000218D"/>
    <w:rsid w:val="0000240B"/>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121F"/>
    <w:rsid w:val="0001127B"/>
    <w:rsid w:val="000112A5"/>
    <w:rsid w:val="0001144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5E7"/>
    <w:rsid w:val="00017674"/>
    <w:rsid w:val="000178F8"/>
    <w:rsid w:val="00017A16"/>
    <w:rsid w:val="00017A27"/>
    <w:rsid w:val="00017A3B"/>
    <w:rsid w:val="00017A46"/>
    <w:rsid w:val="00017B36"/>
    <w:rsid w:val="00017C5E"/>
    <w:rsid w:val="00020140"/>
    <w:rsid w:val="00020232"/>
    <w:rsid w:val="000203B5"/>
    <w:rsid w:val="00020505"/>
    <w:rsid w:val="00020696"/>
    <w:rsid w:val="00020880"/>
    <w:rsid w:val="00020900"/>
    <w:rsid w:val="00020C28"/>
    <w:rsid w:val="00020D64"/>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629"/>
    <w:rsid w:val="000227F5"/>
    <w:rsid w:val="00022AAA"/>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5D4"/>
    <w:rsid w:val="00032727"/>
    <w:rsid w:val="00032740"/>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88"/>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236"/>
    <w:rsid w:val="0004033B"/>
    <w:rsid w:val="000403CA"/>
    <w:rsid w:val="0004042F"/>
    <w:rsid w:val="0004060C"/>
    <w:rsid w:val="000409B6"/>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80"/>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7D3"/>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892"/>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6C4"/>
    <w:rsid w:val="000649EC"/>
    <w:rsid w:val="00064E78"/>
    <w:rsid w:val="00065020"/>
    <w:rsid w:val="00065240"/>
    <w:rsid w:val="00065259"/>
    <w:rsid w:val="00065738"/>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7D7"/>
    <w:rsid w:val="00080982"/>
    <w:rsid w:val="000809DF"/>
    <w:rsid w:val="00080C51"/>
    <w:rsid w:val="00081713"/>
    <w:rsid w:val="000817A1"/>
    <w:rsid w:val="00081948"/>
    <w:rsid w:val="00082322"/>
    <w:rsid w:val="0008234E"/>
    <w:rsid w:val="00082377"/>
    <w:rsid w:val="00082994"/>
    <w:rsid w:val="00082D4B"/>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96"/>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5B4"/>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6E4"/>
    <w:rsid w:val="00097738"/>
    <w:rsid w:val="000979E2"/>
    <w:rsid w:val="00097DD0"/>
    <w:rsid w:val="000A0203"/>
    <w:rsid w:val="000A022B"/>
    <w:rsid w:val="000A04CF"/>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2F1"/>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84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2B4"/>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A2"/>
    <w:rsid w:val="000C54E9"/>
    <w:rsid w:val="000C555D"/>
    <w:rsid w:val="000C5ED7"/>
    <w:rsid w:val="000C5F12"/>
    <w:rsid w:val="000C6043"/>
    <w:rsid w:val="000C612E"/>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4C3"/>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3FAB"/>
    <w:rsid w:val="000E401D"/>
    <w:rsid w:val="000E4215"/>
    <w:rsid w:val="000E439E"/>
    <w:rsid w:val="000E4476"/>
    <w:rsid w:val="000E4703"/>
    <w:rsid w:val="000E478F"/>
    <w:rsid w:val="000E48E2"/>
    <w:rsid w:val="000E48F7"/>
    <w:rsid w:val="000E4CBB"/>
    <w:rsid w:val="000E4D7E"/>
    <w:rsid w:val="000E4DCA"/>
    <w:rsid w:val="000E5132"/>
    <w:rsid w:val="000E53E9"/>
    <w:rsid w:val="000E5525"/>
    <w:rsid w:val="000E554E"/>
    <w:rsid w:val="000E57D3"/>
    <w:rsid w:val="000E5C6E"/>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BA2"/>
    <w:rsid w:val="000E7C99"/>
    <w:rsid w:val="000E7EFD"/>
    <w:rsid w:val="000F0028"/>
    <w:rsid w:val="000F004A"/>
    <w:rsid w:val="000F01E6"/>
    <w:rsid w:val="000F0348"/>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DF"/>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78"/>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A5A"/>
    <w:rsid w:val="00106D64"/>
    <w:rsid w:val="00106E02"/>
    <w:rsid w:val="00107187"/>
    <w:rsid w:val="00107265"/>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2F58"/>
    <w:rsid w:val="00113254"/>
    <w:rsid w:val="001133A4"/>
    <w:rsid w:val="00113451"/>
    <w:rsid w:val="0011354B"/>
    <w:rsid w:val="0011375C"/>
    <w:rsid w:val="001137C8"/>
    <w:rsid w:val="001137CA"/>
    <w:rsid w:val="001137F7"/>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03"/>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C4C"/>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773"/>
    <w:rsid w:val="001339AC"/>
    <w:rsid w:val="001339FA"/>
    <w:rsid w:val="00133D72"/>
    <w:rsid w:val="001342F7"/>
    <w:rsid w:val="00134320"/>
    <w:rsid w:val="00134437"/>
    <w:rsid w:val="001344F5"/>
    <w:rsid w:val="0013450B"/>
    <w:rsid w:val="001346A0"/>
    <w:rsid w:val="001348C4"/>
    <w:rsid w:val="00134B36"/>
    <w:rsid w:val="00134CB5"/>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E5F"/>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5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813"/>
    <w:rsid w:val="001629D3"/>
    <w:rsid w:val="00162A16"/>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1B8"/>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8EC"/>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22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24"/>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0B0"/>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2DE"/>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9E"/>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6E5"/>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8EB"/>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5F"/>
    <w:rsid w:val="001C2695"/>
    <w:rsid w:val="001C29BE"/>
    <w:rsid w:val="001C2DCD"/>
    <w:rsid w:val="001C2E41"/>
    <w:rsid w:val="001C2F65"/>
    <w:rsid w:val="001C326E"/>
    <w:rsid w:val="001C33D5"/>
    <w:rsid w:val="001C34AE"/>
    <w:rsid w:val="001C34EC"/>
    <w:rsid w:val="001C3701"/>
    <w:rsid w:val="001C38DF"/>
    <w:rsid w:val="001C3982"/>
    <w:rsid w:val="001C3A98"/>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1ED6"/>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CC9"/>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79B"/>
    <w:rsid w:val="001F385D"/>
    <w:rsid w:val="001F3C79"/>
    <w:rsid w:val="001F3D72"/>
    <w:rsid w:val="001F3FA4"/>
    <w:rsid w:val="001F3FAF"/>
    <w:rsid w:val="001F4141"/>
    <w:rsid w:val="001F437A"/>
    <w:rsid w:val="001F4382"/>
    <w:rsid w:val="001F443D"/>
    <w:rsid w:val="001F446B"/>
    <w:rsid w:val="001F448E"/>
    <w:rsid w:val="001F4559"/>
    <w:rsid w:val="001F4C8F"/>
    <w:rsid w:val="001F5191"/>
    <w:rsid w:val="001F5251"/>
    <w:rsid w:val="001F52D4"/>
    <w:rsid w:val="001F5318"/>
    <w:rsid w:val="001F536F"/>
    <w:rsid w:val="001F5482"/>
    <w:rsid w:val="001F5484"/>
    <w:rsid w:val="001F54E9"/>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2C8"/>
    <w:rsid w:val="002105B2"/>
    <w:rsid w:val="002105C3"/>
    <w:rsid w:val="0021063C"/>
    <w:rsid w:val="0021085B"/>
    <w:rsid w:val="00210A3A"/>
    <w:rsid w:val="00210C07"/>
    <w:rsid w:val="00210E93"/>
    <w:rsid w:val="00211392"/>
    <w:rsid w:val="00211BE3"/>
    <w:rsid w:val="00211C7C"/>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618E"/>
    <w:rsid w:val="002161B4"/>
    <w:rsid w:val="002162C7"/>
    <w:rsid w:val="002162CB"/>
    <w:rsid w:val="00216642"/>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2A"/>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CD2"/>
    <w:rsid w:val="00226F38"/>
    <w:rsid w:val="00226FD1"/>
    <w:rsid w:val="0022737E"/>
    <w:rsid w:val="00227679"/>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532"/>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9D0"/>
    <w:rsid w:val="00236C96"/>
    <w:rsid w:val="00237125"/>
    <w:rsid w:val="002371F0"/>
    <w:rsid w:val="00237712"/>
    <w:rsid w:val="00237B33"/>
    <w:rsid w:val="00237C8B"/>
    <w:rsid w:val="00237DF5"/>
    <w:rsid w:val="00237E9C"/>
    <w:rsid w:val="00240071"/>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285"/>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AFD"/>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9C3"/>
    <w:rsid w:val="00253AA7"/>
    <w:rsid w:val="00253CA5"/>
    <w:rsid w:val="00253F9B"/>
    <w:rsid w:val="002540B5"/>
    <w:rsid w:val="002543A7"/>
    <w:rsid w:val="00254481"/>
    <w:rsid w:val="00254559"/>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72"/>
    <w:rsid w:val="002701E5"/>
    <w:rsid w:val="0027033A"/>
    <w:rsid w:val="0027037A"/>
    <w:rsid w:val="00270464"/>
    <w:rsid w:val="002708B8"/>
    <w:rsid w:val="00270954"/>
    <w:rsid w:val="00270AA7"/>
    <w:rsid w:val="00270B6C"/>
    <w:rsid w:val="00270EDE"/>
    <w:rsid w:val="00270F10"/>
    <w:rsid w:val="0027143A"/>
    <w:rsid w:val="00271927"/>
    <w:rsid w:val="00271A23"/>
    <w:rsid w:val="00271B76"/>
    <w:rsid w:val="00271DC6"/>
    <w:rsid w:val="00271E9A"/>
    <w:rsid w:val="002720D3"/>
    <w:rsid w:val="0027225F"/>
    <w:rsid w:val="00272537"/>
    <w:rsid w:val="00272769"/>
    <w:rsid w:val="002729FA"/>
    <w:rsid w:val="00272E7F"/>
    <w:rsid w:val="00273108"/>
    <w:rsid w:val="002731C8"/>
    <w:rsid w:val="0027386E"/>
    <w:rsid w:val="002739ED"/>
    <w:rsid w:val="00273A94"/>
    <w:rsid w:val="00273AD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0B3"/>
    <w:rsid w:val="00281148"/>
    <w:rsid w:val="002811BD"/>
    <w:rsid w:val="00281230"/>
    <w:rsid w:val="0028140B"/>
    <w:rsid w:val="00281614"/>
    <w:rsid w:val="002816F6"/>
    <w:rsid w:val="0028171C"/>
    <w:rsid w:val="00281732"/>
    <w:rsid w:val="00281744"/>
    <w:rsid w:val="00281760"/>
    <w:rsid w:val="002817EF"/>
    <w:rsid w:val="002817F1"/>
    <w:rsid w:val="00281898"/>
    <w:rsid w:val="002818F6"/>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856"/>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01C"/>
    <w:rsid w:val="00296174"/>
    <w:rsid w:val="00296334"/>
    <w:rsid w:val="0029639D"/>
    <w:rsid w:val="00296560"/>
    <w:rsid w:val="0029689A"/>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4AE"/>
    <w:rsid w:val="002A5749"/>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5E32"/>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63"/>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BB"/>
    <w:rsid w:val="002C4B7F"/>
    <w:rsid w:val="002C4ECA"/>
    <w:rsid w:val="002C50AE"/>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26"/>
    <w:rsid w:val="002C7ADD"/>
    <w:rsid w:val="002C7CAD"/>
    <w:rsid w:val="002C7E26"/>
    <w:rsid w:val="002C7EA1"/>
    <w:rsid w:val="002C7EF4"/>
    <w:rsid w:val="002C7F04"/>
    <w:rsid w:val="002C7F19"/>
    <w:rsid w:val="002D0089"/>
    <w:rsid w:val="002D018C"/>
    <w:rsid w:val="002D01F9"/>
    <w:rsid w:val="002D025B"/>
    <w:rsid w:val="002D02F5"/>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1A8"/>
    <w:rsid w:val="002D6234"/>
    <w:rsid w:val="002D6392"/>
    <w:rsid w:val="002D6402"/>
    <w:rsid w:val="002D6554"/>
    <w:rsid w:val="002D66E1"/>
    <w:rsid w:val="002D6B40"/>
    <w:rsid w:val="002D6EFF"/>
    <w:rsid w:val="002D6F34"/>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4E06"/>
    <w:rsid w:val="002E51A3"/>
    <w:rsid w:val="002E54A1"/>
    <w:rsid w:val="002E5586"/>
    <w:rsid w:val="002E5875"/>
    <w:rsid w:val="002E58BE"/>
    <w:rsid w:val="002E59B7"/>
    <w:rsid w:val="002E5DD5"/>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3"/>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F4"/>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2B3"/>
    <w:rsid w:val="00310638"/>
    <w:rsid w:val="00310741"/>
    <w:rsid w:val="0031093C"/>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187"/>
    <w:rsid w:val="00320305"/>
    <w:rsid w:val="003203EF"/>
    <w:rsid w:val="00320658"/>
    <w:rsid w:val="00320791"/>
    <w:rsid w:val="003207F3"/>
    <w:rsid w:val="00320E72"/>
    <w:rsid w:val="003213AC"/>
    <w:rsid w:val="00321898"/>
    <w:rsid w:val="003219FA"/>
    <w:rsid w:val="00321F0D"/>
    <w:rsid w:val="0032215D"/>
    <w:rsid w:val="00322400"/>
    <w:rsid w:val="00322572"/>
    <w:rsid w:val="0032269F"/>
    <w:rsid w:val="003227CF"/>
    <w:rsid w:val="003227D9"/>
    <w:rsid w:val="0032294A"/>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048"/>
    <w:rsid w:val="00326139"/>
    <w:rsid w:val="003264D5"/>
    <w:rsid w:val="003265F3"/>
    <w:rsid w:val="0032669D"/>
    <w:rsid w:val="00326A80"/>
    <w:rsid w:val="00326B2E"/>
    <w:rsid w:val="00326FF0"/>
    <w:rsid w:val="00327291"/>
    <w:rsid w:val="003275CB"/>
    <w:rsid w:val="00327873"/>
    <w:rsid w:val="003278B6"/>
    <w:rsid w:val="00327C96"/>
    <w:rsid w:val="00327F45"/>
    <w:rsid w:val="00327FE1"/>
    <w:rsid w:val="0033016A"/>
    <w:rsid w:val="003301B9"/>
    <w:rsid w:val="003301C3"/>
    <w:rsid w:val="00330B18"/>
    <w:rsid w:val="00330D71"/>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216"/>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0A1"/>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A6D"/>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CC"/>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693"/>
    <w:rsid w:val="00366A6D"/>
    <w:rsid w:val="00366CB0"/>
    <w:rsid w:val="00366DE1"/>
    <w:rsid w:val="00366E81"/>
    <w:rsid w:val="003671D8"/>
    <w:rsid w:val="00367792"/>
    <w:rsid w:val="003677F5"/>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52"/>
    <w:rsid w:val="0039118A"/>
    <w:rsid w:val="0039132D"/>
    <w:rsid w:val="00391638"/>
    <w:rsid w:val="003917E3"/>
    <w:rsid w:val="00391CA6"/>
    <w:rsid w:val="00391D14"/>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16D"/>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5EA"/>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54"/>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56C"/>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43C"/>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BA5"/>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235"/>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862"/>
    <w:rsid w:val="003D0D10"/>
    <w:rsid w:val="003D11E9"/>
    <w:rsid w:val="003D1254"/>
    <w:rsid w:val="003D137C"/>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29E"/>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4B"/>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1A2C"/>
    <w:rsid w:val="003F1B0D"/>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8C1"/>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536"/>
    <w:rsid w:val="003F78D1"/>
    <w:rsid w:val="003F7CB0"/>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55A"/>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D08"/>
    <w:rsid w:val="00410E28"/>
    <w:rsid w:val="004111AB"/>
    <w:rsid w:val="004112C2"/>
    <w:rsid w:val="0041152A"/>
    <w:rsid w:val="004117C1"/>
    <w:rsid w:val="00411897"/>
    <w:rsid w:val="004118CE"/>
    <w:rsid w:val="004119FE"/>
    <w:rsid w:val="00411A74"/>
    <w:rsid w:val="00411C38"/>
    <w:rsid w:val="00411E61"/>
    <w:rsid w:val="00411EE0"/>
    <w:rsid w:val="0041230E"/>
    <w:rsid w:val="004126D1"/>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6A9"/>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C1E"/>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87"/>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2DA"/>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D74"/>
    <w:rsid w:val="0043505E"/>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D56"/>
    <w:rsid w:val="00447D8A"/>
    <w:rsid w:val="00447E53"/>
    <w:rsid w:val="00447EB6"/>
    <w:rsid w:val="00447F16"/>
    <w:rsid w:val="004504F0"/>
    <w:rsid w:val="004504FE"/>
    <w:rsid w:val="00450D50"/>
    <w:rsid w:val="00451076"/>
    <w:rsid w:val="004510BF"/>
    <w:rsid w:val="004511CD"/>
    <w:rsid w:val="0045139D"/>
    <w:rsid w:val="004513B1"/>
    <w:rsid w:val="004514CB"/>
    <w:rsid w:val="00451839"/>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BEF"/>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88A"/>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B2"/>
    <w:rsid w:val="00464FA8"/>
    <w:rsid w:val="00465122"/>
    <w:rsid w:val="00465359"/>
    <w:rsid w:val="0046546D"/>
    <w:rsid w:val="0046551D"/>
    <w:rsid w:val="00465551"/>
    <w:rsid w:val="00465559"/>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7AB"/>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7F3"/>
    <w:rsid w:val="0047187B"/>
    <w:rsid w:val="00471B19"/>
    <w:rsid w:val="00471C4C"/>
    <w:rsid w:val="00471C5A"/>
    <w:rsid w:val="00471D2D"/>
    <w:rsid w:val="00471DCF"/>
    <w:rsid w:val="00471DD9"/>
    <w:rsid w:val="00471EE5"/>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045"/>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AA8"/>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C2"/>
    <w:rsid w:val="004B1124"/>
    <w:rsid w:val="004B1186"/>
    <w:rsid w:val="004B14FA"/>
    <w:rsid w:val="004B1565"/>
    <w:rsid w:val="004B1B61"/>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27"/>
    <w:rsid w:val="004B5761"/>
    <w:rsid w:val="004B578D"/>
    <w:rsid w:val="004B5AA5"/>
    <w:rsid w:val="004B5B6A"/>
    <w:rsid w:val="004B5B8B"/>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8AF"/>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35"/>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2DD"/>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A19"/>
    <w:rsid w:val="004D2C55"/>
    <w:rsid w:val="004D2D54"/>
    <w:rsid w:val="004D2EC0"/>
    <w:rsid w:val="004D3204"/>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3F"/>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E52"/>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35F"/>
    <w:rsid w:val="004E6474"/>
    <w:rsid w:val="004E6487"/>
    <w:rsid w:val="004E651E"/>
    <w:rsid w:val="004E66FA"/>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68"/>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447"/>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0C4"/>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865"/>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28C"/>
    <w:rsid w:val="005135BD"/>
    <w:rsid w:val="005135E5"/>
    <w:rsid w:val="005139BE"/>
    <w:rsid w:val="00513B7A"/>
    <w:rsid w:val="00513CC8"/>
    <w:rsid w:val="00514436"/>
    <w:rsid w:val="005145E2"/>
    <w:rsid w:val="00514A01"/>
    <w:rsid w:val="00514B4F"/>
    <w:rsid w:val="005151AE"/>
    <w:rsid w:val="00515238"/>
    <w:rsid w:val="0051524A"/>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17F7F"/>
    <w:rsid w:val="0052052D"/>
    <w:rsid w:val="005205B6"/>
    <w:rsid w:val="00520A8B"/>
    <w:rsid w:val="00521016"/>
    <w:rsid w:val="005210E0"/>
    <w:rsid w:val="0052125C"/>
    <w:rsid w:val="005215D4"/>
    <w:rsid w:val="00521663"/>
    <w:rsid w:val="005217E8"/>
    <w:rsid w:val="00521851"/>
    <w:rsid w:val="0052192E"/>
    <w:rsid w:val="005224FF"/>
    <w:rsid w:val="005226AB"/>
    <w:rsid w:val="005226C2"/>
    <w:rsid w:val="0052276E"/>
    <w:rsid w:val="005227C6"/>
    <w:rsid w:val="00522C20"/>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DFC"/>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687"/>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E33"/>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AB"/>
    <w:rsid w:val="00543BCD"/>
    <w:rsid w:val="00543DE6"/>
    <w:rsid w:val="00543F80"/>
    <w:rsid w:val="0054402D"/>
    <w:rsid w:val="005446DB"/>
    <w:rsid w:val="0054492F"/>
    <w:rsid w:val="00544BD5"/>
    <w:rsid w:val="00545039"/>
    <w:rsid w:val="005450C5"/>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5FFB"/>
    <w:rsid w:val="00556171"/>
    <w:rsid w:val="00556190"/>
    <w:rsid w:val="005561D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3C"/>
    <w:rsid w:val="00563980"/>
    <w:rsid w:val="005639BD"/>
    <w:rsid w:val="00563AD0"/>
    <w:rsid w:val="00563B27"/>
    <w:rsid w:val="00563D54"/>
    <w:rsid w:val="00563FCF"/>
    <w:rsid w:val="005640FA"/>
    <w:rsid w:val="00564116"/>
    <w:rsid w:val="005645FC"/>
    <w:rsid w:val="005648DA"/>
    <w:rsid w:val="00564A39"/>
    <w:rsid w:val="00564A67"/>
    <w:rsid w:val="00564A93"/>
    <w:rsid w:val="00564B5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A3E"/>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3C"/>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8C"/>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B0A"/>
    <w:rsid w:val="00594DAE"/>
    <w:rsid w:val="00594F05"/>
    <w:rsid w:val="0059506C"/>
    <w:rsid w:val="00595335"/>
    <w:rsid w:val="00595416"/>
    <w:rsid w:val="00595436"/>
    <w:rsid w:val="0059548B"/>
    <w:rsid w:val="005955B7"/>
    <w:rsid w:val="00595632"/>
    <w:rsid w:val="00595702"/>
    <w:rsid w:val="00595729"/>
    <w:rsid w:val="0059573F"/>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1F5"/>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492"/>
    <w:rsid w:val="005A3572"/>
    <w:rsid w:val="005A36BC"/>
    <w:rsid w:val="005A37E5"/>
    <w:rsid w:val="005A3933"/>
    <w:rsid w:val="005A3B89"/>
    <w:rsid w:val="005A3DBA"/>
    <w:rsid w:val="005A3EC6"/>
    <w:rsid w:val="005A44AE"/>
    <w:rsid w:val="005A44D3"/>
    <w:rsid w:val="005A4A2A"/>
    <w:rsid w:val="005A4AC4"/>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DDB"/>
    <w:rsid w:val="005A6EC5"/>
    <w:rsid w:val="005A6FAD"/>
    <w:rsid w:val="005A7050"/>
    <w:rsid w:val="005A720E"/>
    <w:rsid w:val="005A7369"/>
    <w:rsid w:val="005A7536"/>
    <w:rsid w:val="005A7A4E"/>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A6"/>
    <w:rsid w:val="005B40C9"/>
    <w:rsid w:val="005B4888"/>
    <w:rsid w:val="005B49B4"/>
    <w:rsid w:val="005B4D05"/>
    <w:rsid w:val="005B57CD"/>
    <w:rsid w:val="005B58F8"/>
    <w:rsid w:val="005B5EBF"/>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D9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C6"/>
    <w:rsid w:val="005C7811"/>
    <w:rsid w:val="005C7C45"/>
    <w:rsid w:val="005C7F60"/>
    <w:rsid w:val="005D0079"/>
    <w:rsid w:val="005D007A"/>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80"/>
    <w:rsid w:val="005D3BC1"/>
    <w:rsid w:val="005D3D2C"/>
    <w:rsid w:val="005D3F21"/>
    <w:rsid w:val="005D4550"/>
    <w:rsid w:val="005D4579"/>
    <w:rsid w:val="005D45F8"/>
    <w:rsid w:val="005D48E9"/>
    <w:rsid w:val="005D4B6E"/>
    <w:rsid w:val="005D4C8B"/>
    <w:rsid w:val="005D4DB0"/>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E74"/>
    <w:rsid w:val="005F0F57"/>
    <w:rsid w:val="005F0FC1"/>
    <w:rsid w:val="005F0FD2"/>
    <w:rsid w:val="005F173C"/>
    <w:rsid w:val="005F18D0"/>
    <w:rsid w:val="005F1AED"/>
    <w:rsid w:val="005F215B"/>
    <w:rsid w:val="005F22AF"/>
    <w:rsid w:val="005F25BE"/>
    <w:rsid w:val="005F2711"/>
    <w:rsid w:val="005F2739"/>
    <w:rsid w:val="005F27CD"/>
    <w:rsid w:val="005F287C"/>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42"/>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BE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536"/>
    <w:rsid w:val="006068A4"/>
    <w:rsid w:val="006069C7"/>
    <w:rsid w:val="00606A66"/>
    <w:rsid w:val="00606B46"/>
    <w:rsid w:val="00606E3F"/>
    <w:rsid w:val="00607185"/>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3B2"/>
    <w:rsid w:val="00614486"/>
    <w:rsid w:val="00614664"/>
    <w:rsid w:val="0061466C"/>
    <w:rsid w:val="0061495C"/>
    <w:rsid w:val="00614BB6"/>
    <w:rsid w:val="00614C1A"/>
    <w:rsid w:val="00614C57"/>
    <w:rsid w:val="00615B17"/>
    <w:rsid w:val="00615E7C"/>
    <w:rsid w:val="00615FA2"/>
    <w:rsid w:val="00616057"/>
    <w:rsid w:val="0061634A"/>
    <w:rsid w:val="0061636D"/>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B6F"/>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0"/>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3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5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78F"/>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8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A97"/>
    <w:rsid w:val="00670C2C"/>
    <w:rsid w:val="00670DCD"/>
    <w:rsid w:val="00670E7B"/>
    <w:rsid w:val="00671152"/>
    <w:rsid w:val="00671194"/>
    <w:rsid w:val="006713DA"/>
    <w:rsid w:val="00671824"/>
    <w:rsid w:val="00671A0D"/>
    <w:rsid w:val="00671AEA"/>
    <w:rsid w:val="00671C19"/>
    <w:rsid w:val="00672281"/>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420"/>
    <w:rsid w:val="00674596"/>
    <w:rsid w:val="00674BD5"/>
    <w:rsid w:val="00674DAE"/>
    <w:rsid w:val="00674F95"/>
    <w:rsid w:val="00675379"/>
    <w:rsid w:val="0067561D"/>
    <w:rsid w:val="00675628"/>
    <w:rsid w:val="00675B79"/>
    <w:rsid w:val="00675E37"/>
    <w:rsid w:val="0067600E"/>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0FA3"/>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E8E"/>
    <w:rsid w:val="00691F17"/>
    <w:rsid w:val="006923E6"/>
    <w:rsid w:val="0069243E"/>
    <w:rsid w:val="00692510"/>
    <w:rsid w:val="006926AB"/>
    <w:rsid w:val="006926D0"/>
    <w:rsid w:val="006926D4"/>
    <w:rsid w:val="00692762"/>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331"/>
    <w:rsid w:val="00696822"/>
    <w:rsid w:val="00696C09"/>
    <w:rsid w:val="00696C0D"/>
    <w:rsid w:val="00696CF7"/>
    <w:rsid w:val="0069714B"/>
    <w:rsid w:val="0069729C"/>
    <w:rsid w:val="006974FB"/>
    <w:rsid w:val="00697517"/>
    <w:rsid w:val="0069769A"/>
    <w:rsid w:val="006977F0"/>
    <w:rsid w:val="006979DB"/>
    <w:rsid w:val="00697E29"/>
    <w:rsid w:val="00697F7C"/>
    <w:rsid w:val="006A007C"/>
    <w:rsid w:val="006A01B6"/>
    <w:rsid w:val="006A02E4"/>
    <w:rsid w:val="006A0343"/>
    <w:rsid w:val="006A0563"/>
    <w:rsid w:val="006A05C5"/>
    <w:rsid w:val="006A05E1"/>
    <w:rsid w:val="006A06F9"/>
    <w:rsid w:val="006A0713"/>
    <w:rsid w:val="006A0896"/>
    <w:rsid w:val="006A0D1A"/>
    <w:rsid w:val="006A121A"/>
    <w:rsid w:val="006A15AB"/>
    <w:rsid w:val="006A1B86"/>
    <w:rsid w:val="006A1D19"/>
    <w:rsid w:val="006A1FFE"/>
    <w:rsid w:val="006A203D"/>
    <w:rsid w:val="006A20EF"/>
    <w:rsid w:val="006A233A"/>
    <w:rsid w:val="006A244D"/>
    <w:rsid w:val="006A2721"/>
    <w:rsid w:val="006A292C"/>
    <w:rsid w:val="006A31E7"/>
    <w:rsid w:val="006A36D1"/>
    <w:rsid w:val="006A3883"/>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36"/>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5B"/>
    <w:rsid w:val="006B3D55"/>
    <w:rsid w:val="006B3F2E"/>
    <w:rsid w:val="006B3F75"/>
    <w:rsid w:val="006B4499"/>
    <w:rsid w:val="006B46AC"/>
    <w:rsid w:val="006B48A6"/>
    <w:rsid w:val="006B49A8"/>
    <w:rsid w:val="006B4CAE"/>
    <w:rsid w:val="006B4E36"/>
    <w:rsid w:val="006B4FD8"/>
    <w:rsid w:val="006B53C2"/>
    <w:rsid w:val="006B5575"/>
    <w:rsid w:val="006B5619"/>
    <w:rsid w:val="006B5624"/>
    <w:rsid w:val="006B58D8"/>
    <w:rsid w:val="006B5A24"/>
    <w:rsid w:val="006B6074"/>
    <w:rsid w:val="006B61BE"/>
    <w:rsid w:val="006B627F"/>
    <w:rsid w:val="006B63E5"/>
    <w:rsid w:val="006B666A"/>
    <w:rsid w:val="006B6736"/>
    <w:rsid w:val="006B69B8"/>
    <w:rsid w:val="006B6A84"/>
    <w:rsid w:val="006B6BDF"/>
    <w:rsid w:val="006B6CF2"/>
    <w:rsid w:val="006B6D19"/>
    <w:rsid w:val="006B6D74"/>
    <w:rsid w:val="006B728E"/>
    <w:rsid w:val="006B786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2DF8"/>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ED"/>
    <w:rsid w:val="006C5E1A"/>
    <w:rsid w:val="006C632A"/>
    <w:rsid w:val="006C6376"/>
    <w:rsid w:val="006C670C"/>
    <w:rsid w:val="006C67F9"/>
    <w:rsid w:val="006C68F3"/>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141"/>
    <w:rsid w:val="006D342A"/>
    <w:rsid w:val="006D34DF"/>
    <w:rsid w:val="006D38A7"/>
    <w:rsid w:val="006D3A97"/>
    <w:rsid w:val="006D3B23"/>
    <w:rsid w:val="006D3BF5"/>
    <w:rsid w:val="006D3CA6"/>
    <w:rsid w:val="006D42C5"/>
    <w:rsid w:val="006D42D9"/>
    <w:rsid w:val="006D455A"/>
    <w:rsid w:val="006D4A83"/>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CB"/>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8F1"/>
    <w:rsid w:val="006E7BB0"/>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678"/>
    <w:rsid w:val="006F276D"/>
    <w:rsid w:val="006F2962"/>
    <w:rsid w:val="006F296E"/>
    <w:rsid w:val="006F2A88"/>
    <w:rsid w:val="006F2DB7"/>
    <w:rsid w:val="006F2EB4"/>
    <w:rsid w:val="006F3826"/>
    <w:rsid w:val="006F38DB"/>
    <w:rsid w:val="006F3AAE"/>
    <w:rsid w:val="006F3CB4"/>
    <w:rsid w:val="006F3E18"/>
    <w:rsid w:val="006F3FE5"/>
    <w:rsid w:val="006F417F"/>
    <w:rsid w:val="006F431D"/>
    <w:rsid w:val="006F436F"/>
    <w:rsid w:val="006F449A"/>
    <w:rsid w:val="006F4576"/>
    <w:rsid w:val="006F464B"/>
    <w:rsid w:val="006F4A1B"/>
    <w:rsid w:val="006F4BBD"/>
    <w:rsid w:val="006F4D37"/>
    <w:rsid w:val="006F4F54"/>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2D3"/>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A5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2BE9"/>
    <w:rsid w:val="00723202"/>
    <w:rsid w:val="0072323C"/>
    <w:rsid w:val="007237D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D86"/>
    <w:rsid w:val="00725FA5"/>
    <w:rsid w:val="0072605A"/>
    <w:rsid w:val="00726173"/>
    <w:rsid w:val="007261B7"/>
    <w:rsid w:val="0072640E"/>
    <w:rsid w:val="00726646"/>
    <w:rsid w:val="00726A09"/>
    <w:rsid w:val="00726ACE"/>
    <w:rsid w:val="00726B6E"/>
    <w:rsid w:val="00726F74"/>
    <w:rsid w:val="007271F3"/>
    <w:rsid w:val="00727520"/>
    <w:rsid w:val="00727552"/>
    <w:rsid w:val="007279B8"/>
    <w:rsid w:val="007279FC"/>
    <w:rsid w:val="00727AE6"/>
    <w:rsid w:val="00727BEE"/>
    <w:rsid w:val="0073000A"/>
    <w:rsid w:val="007300F6"/>
    <w:rsid w:val="0073016A"/>
    <w:rsid w:val="007301A7"/>
    <w:rsid w:val="00730A14"/>
    <w:rsid w:val="00730BB1"/>
    <w:rsid w:val="00730CD4"/>
    <w:rsid w:val="00730D35"/>
    <w:rsid w:val="00730DFE"/>
    <w:rsid w:val="00730F0E"/>
    <w:rsid w:val="00730FCE"/>
    <w:rsid w:val="007312F7"/>
    <w:rsid w:val="007313C9"/>
    <w:rsid w:val="00731485"/>
    <w:rsid w:val="007315B1"/>
    <w:rsid w:val="00731615"/>
    <w:rsid w:val="007316A1"/>
    <w:rsid w:val="00731A45"/>
    <w:rsid w:val="00731A7C"/>
    <w:rsid w:val="00731AAE"/>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221"/>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1"/>
    <w:rsid w:val="007378F8"/>
    <w:rsid w:val="00737906"/>
    <w:rsid w:val="0073796C"/>
    <w:rsid w:val="00737C15"/>
    <w:rsid w:val="00737C2E"/>
    <w:rsid w:val="00737F72"/>
    <w:rsid w:val="00737FFA"/>
    <w:rsid w:val="00740101"/>
    <w:rsid w:val="007401AA"/>
    <w:rsid w:val="007401E0"/>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E4B"/>
    <w:rsid w:val="00743F37"/>
    <w:rsid w:val="00744040"/>
    <w:rsid w:val="00744091"/>
    <w:rsid w:val="00744295"/>
    <w:rsid w:val="007442B6"/>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0B4"/>
    <w:rsid w:val="0075218F"/>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3E80"/>
    <w:rsid w:val="00754061"/>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043"/>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D70"/>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D27"/>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533"/>
    <w:rsid w:val="0078291C"/>
    <w:rsid w:val="0078296E"/>
    <w:rsid w:val="00782B9E"/>
    <w:rsid w:val="00782DA3"/>
    <w:rsid w:val="00782F60"/>
    <w:rsid w:val="00782FD8"/>
    <w:rsid w:val="00783091"/>
    <w:rsid w:val="007831A8"/>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DBD"/>
    <w:rsid w:val="00784F26"/>
    <w:rsid w:val="00784F60"/>
    <w:rsid w:val="0078509D"/>
    <w:rsid w:val="00785759"/>
    <w:rsid w:val="00785B54"/>
    <w:rsid w:val="00785CDC"/>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5104"/>
    <w:rsid w:val="007953DE"/>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0D"/>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4F83"/>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336"/>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418"/>
    <w:rsid w:val="007C28BA"/>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7067"/>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6F3"/>
    <w:rsid w:val="007D480B"/>
    <w:rsid w:val="007D4867"/>
    <w:rsid w:val="007D48A9"/>
    <w:rsid w:val="007D492B"/>
    <w:rsid w:val="007D4983"/>
    <w:rsid w:val="007D4B5C"/>
    <w:rsid w:val="007D4D44"/>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1B9"/>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7FF"/>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AD7"/>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973"/>
    <w:rsid w:val="00811A93"/>
    <w:rsid w:val="00811B29"/>
    <w:rsid w:val="00811B91"/>
    <w:rsid w:val="00812051"/>
    <w:rsid w:val="0081214D"/>
    <w:rsid w:val="0081276C"/>
    <w:rsid w:val="00812D05"/>
    <w:rsid w:val="00812E97"/>
    <w:rsid w:val="00813005"/>
    <w:rsid w:val="008133C1"/>
    <w:rsid w:val="008135FE"/>
    <w:rsid w:val="00813756"/>
    <w:rsid w:val="00813B60"/>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C26"/>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09"/>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0DB"/>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A2B"/>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4971"/>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6D7"/>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2F9A"/>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1F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383"/>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3E07"/>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A2"/>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C0E"/>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29"/>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7E4"/>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2B9"/>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CD3"/>
    <w:rsid w:val="00890FAB"/>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09"/>
    <w:rsid w:val="00895161"/>
    <w:rsid w:val="008952ED"/>
    <w:rsid w:val="00895506"/>
    <w:rsid w:val="008955B1"/>
    <w:rsid w:val="00895B87"/>
    <w:rsid w:val="00896127"/>
    <w:rsid w:val="00896206"/>
    <w:rsid w:val="008968C2"/>
    <w:rsid w:val="00896BFE"/>
    <w:rsid w:val="00896C9E"/>
    <w:rsid w:val="00896D12"/>
    <w:rsid w:val="008972B0"/>
    <w:rsid w:val="0089762D"/>
    <w:rsid w:val="008978F0"/>
    <w:rsid w:val="008979A2"/>
    <w:rsid w:val="00897AFE"/>
    <w:rsid w:val="00897CD7"/>
    <w:rsid w:val="00897DA2"/>
    <w:rsid w:val="008A0463"/>
    <w:rsid w:val="008A069D"/>
    <w:rsid w:val="008A0767"/>
    <w:rsid w:val="008A0B3C"/>
    <w:rsid w:val="008A0F40"/>
    <w:rsid w:val="008A154C"/>
    <w:rsid w:val="008A198E"/>
    <w:rsid w:val="008A1BAB"/>
    <w:rsid w:val="008A1E23"/>
    <w:rsid w:val="008A222B"/>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CE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A1"/>
    <w:rsid w:val="008B400F"/>
    <w:rsid w:val="008B4139"/>
    <w:rsid w:val="008B41F0"/>
    <w:rsid w:val="008B42B2"/>
    <w:rsid w:val="008B44EB"/>
    <w:rsid w:val="008B4566"/>
    <w:rsid w:val="008B482A"/>
    <w:rsid w:val="008B49B0"/>
    <w:rsid w:val="008B4A8E"/>
    <w:rsid w:val="008B4C73"/>
    <w:rsid w:val="008B4DD3"/>
    <w:rsid w:val="008B4E26"/>
    <w:rsid w:val="008B4E67"/>
    <w:rsid w:val="008B4F19"/>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52A"/>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048"/>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A44"/>
    <w:rsid w:val="008D7BAB"/>
    <w:rsid w:val="008D7C62"/>
    <w:rsid w:val="008D7D28"/>
    <w:rsid w:val="008E051C"/>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4D3"/>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4EC7"/>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2C8"/>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A66"/>
    <w:rsid w:val="00927A88"/>
    <w:rsid w:val="00927C90"/>
    <w:rsid w:val="00927D1E"/>
    <w:rsid w:val="0093025C"/>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37C79"/>
    <w:rsid w:val="009401D0"/>
    <w:rsid w:val="009403C7"/>
    <w:rsid w:val="009404F9"/>
    <w:rsid w:val="009408EC"/>
    <w:rsid w:val="00940AEC"/>
    <w:rsid w:val="00940B98"/>
    <w:rsid w:val="00940BB6"/>
    <w:rsid w:val="00940BF4"/>
    <w:rsid w:val="00940C98"/>
    <w:rsid w:val="00940E8E"/>
    <w:rsid w:val="00941040"/>
    <w:rsid w:val="00941120"/>
    <w:rsid w:val="0094119E"/>
    <w:rsid w:val="009414F8"/>
    <w:rsid w:val="00941540"/>
    <w:rsid w:val="00941581"/>
    <w:rsid w:val="00941795"/>
    <w:rsid w:val="00941BB2"/>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D66"/>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82E"/>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09A"/>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077"/>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43C"/>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0C8"/>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CF7"/>
    <w:rsid w:val="00994D2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862"/>
    <w:rsid w:val="009969CA"/>
    <w:rsid w:val="00997297"/>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18"/>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09D"/>
    <w:rsid w:val="009B33F8"/>
    <w:rsid w:val="009B3411"/>
    <w:rsid w:val="009B34DF"/>
    <w:rsid w:val="009B36DD"/>
    <w:rsid w:val="009B394B"/>
    <w:rsid w:val="009B3983"/>
    <w:rsid w:val="009B3A11"/>
    <w:rsid w:val="009B3F50"/>
    <w:rsid w:val="009B3F9B"/>
    <w:rsid w:val="009B4164"/>
    <w:rsid w:val="009B42A4"/>
    <w:rsid w:val="009B4319"/>
    <w:rsid w:val="009B43D2"/>
    <w:rsid w:val="009B4676"/>
    <w:rsid w:val="009B477C"/>
    <w:rsid w:val="009B485A"/>
    <w:rsid w:val="009B4C98"/>
    <w:rsid w:val="009B4D64"/>
    <w:rsid w:val="009B4DD2"/>
    <w:rsid w:val="009B4E95"/>
    <w:rsid w:val="009B4F18"/>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BDE"/>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AC5"/>
    <w:rsid w:val="009D5C39"/>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9E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B04"/>
    <w:rsid w:val="009E5C9C"/>
    <w:rsid w:val="009E5E80"/>
    <w:rsid w:val="009E5E96"/>
    <w:rsid w:val="009E5EDD"/>
    <w:rsid w:val="009E6204"/>
    <w:rsid w:val="009E634C"/>
    <w:rsid w:val="009E63CD"/>
    <w:rsid w:val="009E6783"/>
    <w:rsid w:val="009E688E"/>
    <w:rsid w:val="009E69D7"/>
    <w:rsid w:val="009E6A01"/>
    <w:rsid w:val="009E6A7A"/>
    <w:rsid w:val="009E6A9C"/>
    <w:rsid w:val="009E6B2A"/>
    <w:rsid w:val="009E6C6E"/>
    <w:rsid w:val="009E6F1A"/>
    <w:rsid w:val="009E7A72"/>
    <w:rsid w:val="009E7EC0"/>
    <w:rsid w:val="009E7F9D"/>
    <w:rsid w:val="009F0011"/>
    <w:rsid w:val="009F062E"/>
    <w:rsid w:val="009F066D"/>
    <w:rsid w:val="009F06A9"/>
    <w:rsid w:val="009F0D6F"/>
    <w:rsid w:val="009F0FFD"/>
    <w:rsid w:val="009F12FF"/>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5F0"/>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825"/>
    <w:rsid w:val="009F6847"/>
    <w:rsid w:val="009F6B7C"/>
    <w:rsid w:val="009F6C9A"/>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C00"/>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B17"/>
    <w:rsid w:val="00A12F49"/>
    <w:rsid w:val="00A12FA4"/>
    <w:rsid w:val="00A131A5"/>
    <w:rsid w:val="00A132A9"/>
    <w:rsid w:val="00A132EA"/>
    <w:rsid w:val="00A132F6"/>
    <w:rsid w:val="00A1361A"/>
    <w:rsid w:val="00A13CC8"/>
    <w:rsid w:val="00A14112"/>
    <w:rsid w:val="00A14113"/>
    <w:rsid w:val="00A14120"/>
    <w:rsid w:val="00A1416C"/>
    <w:rsid w:val="00A1424A"/>
    <w:rsid w:val="00A1427A"/>
    <w:rsid w:val="00A14595"/>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566"/>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0E0"/>
    <w:rsid w:val="00A452EA"/>
    <w:rsid w:val="00A453E8"/>
    <w:rsid w:val="00A45516"/>
    <w:rsid w:val="00A45549"/>
    <w:rsid w:val="00A45848"/>
    <w:rsid w:val="00A45B3C"/>
    <w:rsid w:val="00A45C14"/>
    <w:rsid w:val="00A45CA8"/>
    <w:rsid w:val="00A45CE0"/>
    <w:rsid w:val="00A46144"/>
    <w:rsid w:val="00A4616A"/>
    <w:rsid w:val="00A4644B"/>
    <w:rsid w:val="00A46623"/>
    <w:rsid w:val="00A46754"/>
    <w:rsid w:val="00A46E9B"/>
    <w:rsid w:val="00A46EDD"/>
    <w:rsid w:val="00A47495"/>
    <w:rsid w:val="00A474D3"/>
    <w:rsid w:val="00A47686"/>
    <w:rsid w:val="00A476AE"/>
    <w:rsid w:val="00A479DC"/>
    <w:rsid w:val="00A47A11"/>
    <w:rsid w:val="00A47B20"/>
    <w:rsid w:val="00A47B50"/>
    <w:rsid w:val="00A5018B"/>
    <w:rsid w:val="00A50442"/>
    <w:rsid w:val="00A5083B"/>
    <w:rsid w:val="00A50851"/>
    <w:rsid w:val="00A50974"/>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40E"/>
    <w:rsid w:val="00A61ACE"/>
    <w:rsid w:val="00A61D2A"/>
    <w:rsid w:val="00A61E85"/>
    <w:rsid w:val="00A6211A"/>
    <w:rsid w:val="00A621A1"/>
    <w:rsid w:val="00A6223A"/>
    <w:rsid w:val="00A62341"/>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46D"/>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9D0"/>
    <w:rsid w:val="00A72B08"/>
    <w:rsid w:val="00A72E25"/>
    <w:rsid w:val="00A72FA9"/>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453"/>
    <w:rsid w:val="00A8269C"/>
    <w:rsid w:val="00A82719"/>
    <w:rsid w:val="00A82A0F"/>
    <w:rsid w:val="00A82AB3"/>
    <w:rsid w:val="00A82B11"/>
    <w:rsid w:val="00A82B66"/>
    <w:rsid w:val="00A82C21"/>
    <w:rsid w:val="00A82F1D"/>
    <w:rsid w:val="00A83679"/>
    <w:rsid w:val="00A83CDD"/>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37A"/>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289"/>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6C8"/>
    <w:rsid w:val="00AA0746"/>
    <w:rsid w:val="00AA089A"/>
    <w:rsid w:val="00AA09A4"/>
    <w:rsid w:val="00AA09A7"/>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36"/>
    <w:rsid w:val="00AA54CD"/>
    <w:rsid w:val="00AA5555"/>
    <w:rsid w:val="00AA5760"/>
    <w:rsid w:val="00AA5B08"/>
    <w:rsid w:val="00AA5C8A"/>
    <w:rsid w:val="00AA5CD0"/>
    <w:rsid w:val="00AA6193"/>
    <w:rsid w:val="00AA6619"/>
    <w:rsid w:val="00AA6802"/>
    <w:rsid w:val="00AA6883"/>
    <w:rsid w:val="00AA6A4A"/>
    <w:rsid w:val="00AA6A50"/>
    <w:rsid w:val="00AA6BDE"/>
    <w:rsid w:val="00AA6F9F"/>
    <w:rsid w:val="00AA7001"/>
    <w:rsid w:val="00AA7011"/>
    <w:rsid w:val="00AA7191"/>
    <w:rsid w:val="00AA72DA"/>
    <w:rsid w:val="00AA7944"/>
    <w:rsid w:val="00AA7B1B"/>
    <w:rsid w:val="00AA7BC6"/>
    <w:rsid w:val="00AB01F4"/>
    <w:rsid w:val="00AB02E6"/>
    <w:rsid w:val="00AB05B1"/>
    <w:rsid w:val="00AB0645"/>
    <w:rsid w:val="00AB078F"/>
    <w:rsid w:val="00AB0869"/>
    <w:rsid w:val="00AB0990"/>
    <w:rsid w:val="00AB0A9D"/>
    <w:rsid w:val="00AB0B8A"/>
    <w:rsid w:val="00AB1678"/>
    <w:rsid w:val="00AB16D4"/>
    <w:rsid w:val="00AB1FCB"/>
    <w:rsid w:val="00AB26B5"/>
    <w:rsid w:val="00AB2C8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993"/>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D1"/>
    <w:rsid w:val="00AC33F1"/>
    <w:rsid w:val="00AC3717"/>
    <w:rsid w:val="00AC39D0"/>
    <w:rsid w:val="00AC3A68"/>
    <w:rsid w:val="00AC3FBF"/>
    <w:rsid w:val="00AC4C08"/>
    <w:rsid w:val="00AC511C"/>
    <w:rsid w:val="00AC5357"/>
    <w:rsid w:val="00AC566A"/>
    <w:rsid w:val="00AC5DDE"/>
    <w:rsid w:val="00AC5F08"/>
    <w:rsid w:val="00AC614A"/>
    <w:rsid w:val="00AC62F8"/>
    <w:rsid w:val="00AC64A3"/>
    <w:rsid w:val="00AC64F4"/>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C8D"/>
    <w:rsid w:val="00AD2D43"/>
    <w:rsid w:val="00AD34AA"/>
    <w:rsid w:val="00AD351F"/>
    <w:rsid w:val="00AD36DC"/>
    <w:rsid w:val="00AD38E1"/>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9"/>
    <w:rsid w:val="00AF38BE"/>
    <w:rsid w:val="00AF3928"/>
    <w:rsid w:val="00AF3B06"/>
    <w:rsid w:val="00AF3D18"/>
    <w:rsid w:val="00AF40A0"/>
    <w:rsid w:val="00AF44F8"/>
    <w:rsid w:val="00AF4514"/>
    <w:rsid w:val="00AF46C4"/>
    <w:rsid w:val="00AF46C7"/>
    <w:rsid w:val="00AF4717"/>
    <w:rsid w:val="00AF4956"/>
    <w:rsid w:val="00AF5135"/>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409"/>
    <w:rsid w:val="00AF7535"/>
    <w:rsid w:val="00AF78D4"/>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8D2"/>
    <w:rsid w:val="00B059E5"/>
    <w:rsid w:val="00B05CA0"/>
    <w:rsid w:val="00B05CE8"/>
    <w:rsid w:val="00B0601D"/>
    <w:rsid w:val="00B063D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2C7"/>
    <w:rsid w:val="00B23827"/>
    <w:rsid w:val="00B23932"/>
    <w:rsid w:val="00B23A41"/>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EB4"/>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2F7B"/>
    <w:rsid w:val="00B33185"/>
    <w:rsid w:val="00B33196"/>
    <w:rsid w:val="00B331B4"/>
    <w:rsid w:val="00B3334F"/>
    <w:rsid w:val="00B333C6"/>
    <w:rsid w:val="00B33FC3"/>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6F93"/>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62C"/>
    <w:rsid w:val="00B517F8"/>
    <w:rsid w:val="00B5183F"/>
    <w:rsid w:val="00B51979"/>
    <w:rsid w:val="00B51A65"/>
    <w:rsid w:val="00B51A6A"/>
    <w:rsid w:val="00B51DBB"/>
    <w:rsid w:val="00B51FF2"/>
    <w:rsid w:val="00B521D0"/>
    <w:rsid w:val="00B5233E"/>
    <w:rsid w:val="00B52520"/>
    <w:rsid w:val="00B52684"/>
    <w:rsid w:val="00B528F3"/>
    <w:rsid w:val="00B52A02"/>
    <w:rsid w:val="00B52B36"/>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C76"/>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256"/>
    <w:rsid w:val="00B6733A"/>
    <w:rsid w:val="00B6766B"/>
    <w:rsid w:val="00B67681"/>
    <w:rsid w:val="00B67741"/>
    <w:rsid w:val="00B6789A"/>
    <w:rsid w:val="00B67FAD"/>
    <w:rsid w:val="00B7022A"/>
    <w:rsid w:val="00B7048E"/>
    <w:rsid w:val="00B705FC"/>
    <w:rsid w:val="00B70771"/>
    <w:rsid w:val="00B709B3"/>
    <w:rsid w:val="00B71188"/>
    <w:rsid w:val="00B71267"/>
    <w:rsid w:val="00B714AC"/>
    <w:rsid w:val="00B7153E"/>
    <w:rsid w:val="00B716A9"/>
    <w:rsid w:val="00B716AC"/>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B3F"/>
    <w:rsid w:val="00B82D59"/>
    <w:rsid w:val="00B82DCD"/>
    <w:rsid w:val="00B831ED"/>
    <w:rsid w:val="00B83334"/>
    <w:rsid w:val="00B83433"/>
    <w:rsid w:val="00B8349C"/>
    <w:rsid w:val="00B834D2"/>
    <w:rsid w:val="00B8357B"/>
    <w:rsid w:val="00B83696"/>
    <w:rsid w:val="00B83CAA"/>
    <w:rsid w:val="00B83D84"/>
    <w:rsid w:val="00B840CD"/>
    <w:rsid w:val="00B842F9"/>
    <w:rsid w:val="00B8443F"/>
    <w:rsid w:val="00B844A4"/>
    <w:rsid w:val="00B844AA"/>
    <w:rsid w:val="00B8453F"/>
    <w:rsid w:val="00B845D5"/>
    <w:rsid w:val="00B84609"/>
    <w:rsid w:val="00B84936"/>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3BB"/>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09B"/>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E1"/>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C9"/>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5ED0"/>
    <w:rsid w:val="00BC6135"/>
    <w:rsid w:val="00BC61AA"/>
    <w:rsid w:val="00BC6262"/>
    <w:rsid w:val="00BC6628"/>
    <w:rsid w:val="00BC66A1"/>
    <w:rsid w:val="00BC66A9"/>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74"/>
    <w:rsid w:val="00BE27F3"/>
    <w:rsid w:val="00BE2CD1"/>
    <w:rsid w:val="00BE32BD"/>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E4B"/>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57F"/>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AC9"/>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9D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A89"/>
    <w:rsid w:val="00C02B39"/>
    <w:rsid w:val="00C02B4F"/>
    <w:rsid w:val="00C02DE3"/>
    <w:rsid w:val="00C02ECB"/>
    <w:rsid w:val="00C02FE1"/>
    <w:rsid w:val="00C03012"/>
    <w:rsid w:val="00C036E8"/>
    <w:rsid w:val="00C0371A"/>
    <w:rsid w:val="00C0373D"/>
    <w:rsid w:val="00C03C0F"/>
    <w:rsid w:val="00C03DA6"/>
    <w:rsid w:val="00C03EA6"/>
    <w:rsid w:val="00C03FFD"/>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48"/>
    <w:rsid w:val="00C157A3"/>
    <w:rsid w:val="00C15828"/>
    <w:rsid w:val="00C15B14"/>
    <w:rsid w:val="00C15D1E"/>
    <w:rsid w:val="00C15F1E"/>
    <w:rsid w:val="00C16276"/>
    <w:rsid w:val="00C1649C"/>
    <w:rsid w:val="00C16745"/>
    <w:rsid w:val="00C16AAA"/>
    <w:rsid w:val="00C16CBF"/>
    <w:rsid w:val="00C176E9"/>
    <w:rsid w:val="00C178AC"/>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9E2"/>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6F9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D9"/>
    <w:rsid w:val="00C31501"/>
    <w:rsid w:val="00C315AB"/>
    <w:rsid w:val="00C316DD"/>
    <w:rsid w:val="00C31B05"/>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165"/>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137"/>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04A"/>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3AB"/>
    <w:rsid w:val="00C6144E"/>
    <w:rsid w:val="00C618C7"/>
    <w:rsid w:val="00C61CEA"/>
    <w:rsid w:val="00C61F29"/>
    <w:rsid w:val="00C61FD1"/>
    <w:rsid w:val="00C62015"/>
    <w:rsid w:val="00C62710"/>
    <w:rsid w:val="00C62C6C"/>
    <w:rsid w:val="00C63336"/>
    <w:rsid w:val="00C63370"/>
    <w:rsid w:val="00C636BA"/>
    <w:rsid w:val="00C638E0"/>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D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A05"/>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9F5"/>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38"/>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16C"/>
    <w:rsid w:val="00C87269"/>
    <w:rsid w:val="00C8731E"/>
    <w:rsid w:val="00C87449"/>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9"/>
    <w:rsid w:val="00C9563E"/>
    <w:rsid w:val="00C95736"/>
    <w:rsid w:val="00C95A4F"/>
    <w:rsid w:val="00C95CAF"/>
    <w:rsid w:val="00C95DEE"/>
    <w:rsid w:val="00C95FD6"/>
    <w:rsid w:val="00C960C8"/>
    <w:rsid w:val="00C962B9"/>
    <w:rsid w:val="00C96474"/>
    <w:rsid w:val="00C96555"/>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2F0"/>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11B"/>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62"/>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9B"/>
    <w:rsid w:val="00CB09E4"/>
    <w:rsid w:val="00CB0A99"/>
    <w:rsid w:val="00CB0C7B"/>
    <w:rsid w:val="00CB0C84"/>
    <w:rsid w:val="00CB103B"/>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5FBF"/>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B86"/>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5FD0"/>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84B"/>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ACD"/>
    <w:rsid w:val="00CE3BA8"/>
    <w:rsid w:val="00CE3EB5"/>
    <w:rsid w:val="00CE40C0"/>
    <w:rsid w:val="00CE4281"/>
    <w:rsid w:val="00CE42D9"/>
    <w:rsid w:val="00CE4747"/>
    <w:rsid w:val="00CE4793"/>
    <w:rsid w:val="00CE4A80"/>
    <w:rsid w:val="00CE4B35"/>
    <w:rsid w:val="00CE4FB1"/>
    <w:rsid w:val="00CE4FDC"/>
    <w:rsid w:val="00CE504E"/>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292"/>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C7"/>
    <w:rsid w:val="00CF2AE6"/>
    <w:rsid w:val="00CF304C"/>
    <w:rsid w:val="00CF393C"/>
    <w:rsid w:val="00CF39DD"/>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EA"/>
    <w:rsid w:val="00CF60CE"/>
    <w:rsid w:val="00CF635E"/>
    <w:rsid w:val="00CF63C0"/>
    <w:rsid w:val="00CF6443"/>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577"/>
    <w:rsid w:val="00D026AB"/>
    <w:rsid w:val="00D027E7"/>
    <w:rsid w:val="00D02865"/>
    <w:rsid w:val="00D02E63"/>
    <w:rsid w:val="00D02E8D"/>
    <w:rsid w:val="00D02FBF"/>
    <w:rsid w:val="00D03384"/>
    <w:rsid w:val="00D033ED"/>
    <w:rsid w:val="00D036AA"/>
    <w:rsid w:val="00D03C34"/>
    <w:rsid w:val="00D03E4B"/>
    <w:rsid w:val="00D03F84"/>
    <w:rsid w:val="00D044A7"/>
    <w:rsid w:val="00D04958"/>
    <w:rsid w:val="00D04C5A"/>
    <w:rsid w:val="00D04D28"/>
    <w:rsid w:val="00D04E55"/>
    <w:rsid w:val="00D04EA9"/>
    <w:rsid w:val="00D050DA"/>
    <w:rsid w:val="00D054F5"/>
    <w:rsid w:val="00D05A40"/>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DA"/>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1DB"/>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078"/>
    <w:rsid w:val="00D3316C"/>
    <w:rsid w:val="00D332B5"/>
    <w:rsid w:val="00D33541"/>
    <w:rsid w:val="00D33841"/>
    <w:rsid w:val="00D339C0"/>
    <w:rsid w:val="00D33A04"/>
    <w:rsid w:val="00D33C96"/>
    <w:rsid w:val="00D3401F"/>
    <w:rsid w:val="00D341CB"/>
    <w:rsid w:val="00D342A1"/>
    <w:rsid w:val="00D3431B"/>
    <w:rsid w:val="00D34A78"/>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85B"/>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DFD"/>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77B"/>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4D3"/>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5E4"/>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77B"/>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EFC"/>
    <w:rsid w:val="00D841A8"/>
    <w:rsid w:val="00D8469F"/>
    <w:rsid w:val="00D846E7"/>
    <w:rsid w:val="00D8485A"/>
    <w:rsid w:val="00D84AB7"/>
    <w:rsid w:val="00D84B3C"/>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BA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351"/>
    <w:rsid w:val="00DA10E1"/>
    <w:rsid w:val="00DA12B1"/>
    <w:rsid w:val="00DA1766"/>
    <w:rsid w:val="00DA19D4"/>
    <w:rsid w:val="00DA1A57"/>
    <w:rsid w:val="00DA1DB2"/>
    <w:rsid w:val="00DA1F46"/>
    <w:rsid w:val="00DA1FA4"/>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8E1"/>
    <w:rsid w:val="00DA70A3"/>
    <w:rsid w:val="00DA70D5"/>
    <w:rsid w:val="00DA7130"/>
    <w:rsid w:val="00DA7131"/>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28B8"/>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4D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ADB"/>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1"/>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B9"/>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D65"/>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4E42"/>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DC"/>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3"/>
    <w:rsid w:val="00E025BE"/>
    <w:rsid w:val="00E0270E"/>
    <w:rsid w:val="00E027C8"/>
    <w:rsid w:val="00E02CFC"/>
    <w:rsid w:val="00E02F7C"/>
    <w:rsid w:val="00E02FDB"/>
    <w:rsid w:val="00E03026"/>
    <w:rsid w:val="00E03260"/>
    <w:rsid w:val="00E035FD"/>
    <w:rsid w:val="00E03865"/>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9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774"/>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0D23"/>
    <w:rsid w:val="00E210A3"/>
    <w:rsid w:val="00E211FB"/>
    <w:rsid w:val="00E21467"/>
    <w:rsid w:val="00E2162E"/>
    <w:rsid w:val="00E219AB"/>
    <w:rsid w:val="00E21B6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460"/>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7F8"/>
    <w:rsid w:val="00E35BB4"/>
    <w:rsid w:val="00E35C74"/>
    <w:rsid w:val="00E35D78"/>
    <w:rsid w:val="00E36081"/>
    <w:rsid w:val="00E36137"/>
    <w:rsid w:val="00E3630E"/>
    <w:rsid w:val="00E363D7"/>
    <w:rsid w:val="00E364A9"/>
    <w:rsid w:val="00E36682"/>
    <w:rsid w:val="00E366B5"/>
    <w:rsid w:val="00E36870"/>
    <w:rsid w:val="00E36894"/>
    <w:rsid w:val="00E37049"/>
    <w:rsid w:val="00E372B6"/>
    <w:rsid w:val="00E3754A"/>
    <w:rsid w:val="00E3754C"/>
    <w:rsid w:val="00E37B1A"/>
    <w:rsid w:val="00E37B6D"/>
    <w:rsid w:val="00E37D0A"/>
    <w:rsid w:val="00E37FD7"/>
    <w:rsid w:val="00E4006C"/>
    <w:rsid w:val="00E400DC"/>
    <w:rsid w:val="00E4011E"/>
    <w:rsid w:val="00E402F8"/>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25C"/>
    <w:rsid w:val="00E43444"/>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AB"/>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41F"/>
    <w:rsid w:val="00E515B5"/>
    <w:rsid w:val="00E51875"/>
    <w:rsid w:val="00E519CC"/>
    <w:rsid w:val="00E51AFA"/>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AB2"/>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093"/>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5E5B"/>
    <w:rsid w:val="00E7608A"/>
    <w:rsid w:val="00E7667C"/>
    <w:rsid w:val="00E769E0"/>
    <w:rsid w:val="00E76A29"/>
    <w:rsid w:val="00E76C58"/>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23"/>
    <w:rsid w:val="00E85E24"/>
    <w:rsid w:val="00E86246"/>
    <w:rsid w:val="00E862A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4"/>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EBE"/>
    <w:rsid w:val="00EA5F56"/>
    <w:rsid w:val="00EA5F76"/>
    <w:rsid w:val="00EA5FC8"/>
    <w:rsid w:val="00EA6776"/>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46"/>
    <w:rsid w:val="00EB58A0"/>
    <w:rsid w:val="00EB5BD5"/>
    <w:rsid w:val="00EB5EAC"/>
    <w:rsid w:val="00EB61A0"/>
    <w:rsid w:val="00EB6872"/>
    <w:rsid w:val="00EB6CFB"/>
    <w:rsid w:val="00EB6D6E"/>
    <w:rsid w:val="00EB6D94"/>
    <w:rsid w:val="00EB7226"/>
    <w:rsid w:val="00EB74C1"/>
    <w:rsid w:val="00EB75B8"/>
    <w:rsid w:val="00EB770C"/>
    <w:rsid w:val="00EB7891"/>
    <w:rsid w:val="00EB78BC"/>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3DE"/>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70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D83"/>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90C"/>
    <w:rsid w:val="00EE5B34"/>
    <w:rsid w:val="00EE5BAF"/>
    <w:rsid w:val="00EE6104"/>
    <w:rsid w:val="00EE6500"/>
    <w:rsid w:val="00EE6984"/>
    <w:rsid w:val="00EE69A4"/>
    <w:rsid w:val="00EE6C8E"/>
    <w:rsid w:val="00EE71D1"/>
    <w:rsid w:val="00EE7277"/>
    <w:rsid w:val="00EE7804"/>
    <w:rsid w:val="00EE78C0"/>
    <w:rsid w:val="00EE7A4F"/>
    <w:rsid w:val="00EE7A7D"/>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0D2"/>
    <w:rsid w:val="00F001AC"/>
    <w:rsid w:val="00F003E8"/>
    <w:rsid w:val="00F0058E"/>
    <w:rsid w:val="00F00655"/>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3C"/>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AE1"/>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D92"/>
    <w:rsid w:val="00F37E74"/>
    <w:rsid w:val="00F37FF9"/>
    <w:rsid w:val="00F4016F"/>
    <w:rsid w:val="00F402AB"/>
    <w:rsid w:val="00F405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10"/>
    <w:rsid w:val="00F42D65"/>
    <w:rsid w:val="00F42F41"/>
    <w:rsid w:val="00F42F6E"/>
    <w:rsid w:val="00F430AE"/>
    <w:rsid w:val="00F432F0"/>
    <w:rsid w:val="00F4344A"/>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6FD"/>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3E4"/>
    <w:rsid w:val="00F57583"/>
    <w:rsid w:val="00F57CD5"/>
    <w:rsid w:val="00F57E89"/>
    <w:rsid w:val="00F6014C"/>
    <w:rsid w:val="00F60209"/>
    <w:rsid w:val="00F60475"/>
    <w:rsid w:val="00F607BC"/>
    <w:rsid w:val="00F60920"/>
    <w:rsid w:val="00F60D10"/>
    <w:rsid w:val="00F60D79"/>
    <w:rsid w:val="00F60ECD"/>
    <w:rsid w:val="00F61186"/>
    <w:rsid w:val="00F611F2"/>
    <w:rsid w:val="00F614F4"/>
    <w:rsid w:val="00F6150B"/>
    <w:rsid w:val="00F615A6"/>
    <w:rsid w:val="00F61691"/>
    <w:rsid w:val="00F616B3"/>
    <w:rsid w:val="00F6175B"/>
    <w:rsid w:val="00F61AF7"/>
    <w:rsid w:val="00F61B0D"/>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7E6"/>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1D"/>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38F"/>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58D"/>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BC8"/>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299"/>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CA3"/>
    <w:rsid w:val="00FB2DA9"/>
    <w:rsid w:val="00FB2F46"/>
    <w:rsid w:val="00FB330B"/>
    <w:rsid w:val="00FB36A0"/>
    <w:rsid w:val="00FB3D89"/>
    <w:rsid w:val="00FB3FCA"/>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B7C45"/>
    <w:rsid w:val="00FC051D"/>
    <w:rsid w:val="00FC05D7"/>
    <w:rsid w:val="00FC0B40"/>
    <w:rsid w:val="00FC0C08"/>
    <w:rsid w:val="00FC0D68"/>
    <w:rsid w:val="00FC12B0"/>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852"/>
    <w:rsid w:val="00FD7B88"/>
    <w:rsid w:val="00FD7C8B"/>
    <w:rsid w:val="00FD7DCF"/>
    <w:rsid w:val="00FD7F14"/>
    <w:rsid w:val="00FD7FDF"/>
    <w:rsid w:val="00FE00AA"/>
    <w:rsid w:val="00FE03E4"/>
    <w:rsid w:val="00FE04AB"/>
    <w:rsid w:val="00FE055F"/>
    <w:rsid w:val="00FE0A0C"/>
    <w:rsid w:val="00FE0D8A"/>
    <w:rsid w:val="00FE0D8E"/>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2F0"/>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A367D0"/>
    <w:rsid w:val="0600615C"/>
    <w:rsid w:val="06217325"/>
    <w:rsid w:val="064568B1"/>
    <w:rsid w:val="07A67707"/>
    <w:rsid w:val="086137E0"/>
    <w:rsid w:val="0A817E77"/>
    <w:rsid w:val="0ADD677E"/>
    <w:rsid w:val="0B3D750A"/>
    <w:rsid w:val="0B660C1A"/>
    <w:rsid w:val="0BD01569"/>
    <w:rsid w:val="121A67F7"/>
    <w:rsid w:val="142E1A9E"/>
    <w:rsid w:val="14573790"/>
    <w:rsid w:val="14D30B6F"/>
    <w:rsid w:val="161D7F56"/>
    <w:rsid w:val="17F93E0B"/>
    <w:rsid w:val="18C17A44"/>
    <w:rsid w:val="198732A9"/>
    <w:rsid w:val="19EE45E2"/>
    <w:rsid w:val="1A670100"/>
    <w:rsid w:val="1C455CA5"/>
    <w:rsid w:val="1C6614B0"/>
    <w:rsid w:val="1D2C69D2"/>
    <w:rsid w:val="1EB351DF"/>
    <w:rsid w:val="217A33F8"/>
    <w:rsid w:val="239E00B4"/>
    <w:rsid w:val="24392B0D"/>
    <w:rsid w:val="251E74A4"/>
    <w:rsid w:val="25F0001B"/>
    <w:rsid w:val="27843CE5"/>
    <w:rsid w:val="2AFE060C"/>
    <w:rsid w:val="2C7F752B"/>
    <w:rsid w:val="2D2E3854"/>
    <w:rsid w:val="2DBA2F11"/>
    <w:rsid w:val="2EBD258D"/>
    <w:rsid w:val="305B205D"/>
    <w:rsid w:val="30FD4EC2"/>
    <w:rsid w:val="31556AAC"/>
    <w:rsid w:val="32EB653A"/>
    <w:rsid w:val="3A5F274A"/>
    <w:rsid w:val="3BCB6780"/>
    <w:rsid w:val="3C137C90"/>
    <w:rsid w:val="3E2E0A91"/>
    <w:rsid w:val="40D433B3"/>
    <w:rsid w:val="416B7C26"/>
    <w:rsid w:val="42CD0A98"/>
    <w:rsid w:val="431A0C09"/>
    <w:rsid w:val="436808C1"/>
    <w:rsid w:val="43E40E77"/>
    <w:rsid w:val="4522355A"/>
    <w:rsid w:val="480E2158"/>
    <w:rsid w:val="49E134F2"/>
    <w:rsid w:val="4B342ED6"/>
    <w:rsid w:val="4B65373A"/>
    <w:rsid w:val="4B7F49FA"/>
    <w:rsid w:val="4D00163A"/>
    <w:rsid w:val="4F0F5BE3"/>
    <w:rsid w:val="4FEC68BB"/>
    <w:rsid w:val="52422029"/>
    <w:rsid w:val="55040901"/>
    <w:rsid w:val="55352953"/>
    <w:rsid w:val="56DF05DE"/>
    <w:rsid w:val="57FC6189"/>
    <w:rsid w:val="58A90D3E"/>
    <w:rsid w:val="5BB93F58"/>
    <w:rsid w:val="5BCF35AF"/>
    <w:rsid w:val="5DDD2588"/>
    <w:rsid w:val="5F073306"/>
    <w:rsid w:val="5F5F73B9"/>
    <w:rsid w:val="60767C1D"/>
    <w:rsid w:val="67E03CA3"/>
    <w:rsid w:val="6838144E"/>
    <w:rsid w:val="68AA7398"/>
    <w:rsid w:val="695D4175"/>
    <w:rsid w:val="69B55D5F"/>
    <w:rsid w:val="69D63F27"/>
    <w:rsid w:val="6A185E4D"/>
    <w:rsid w:val="6CD04C5E"/>
    <w:rsid w:val="6E9F566F"/>
    <w:rsid w:val="6FCF56A0"/>
    <w:rsid w:val="704B223A"/>
    <w:rsid w:val="721B697B"/>
    <w:rsid w:val="72444124"/>
    <w:rsid w:val="73B9644B"/>
    <w:rsid w:val="742C597A"/>
    <w:rsid w:val="756D3991"/>
    <w:rsid w:val="75A96973"/>
    <w:rsid w:val="770B3462"/>
    <w:rsid w:val="77EA33A7"/>
    <w:rsid w:val="78143892"/>
    <w:rsid w:val="7AFFEBAA"/>
    <w:rsid w:val="CEF04311"/>
    <w:rsid w:val="DEB746D0"/>
    <w:rsid w:val="F76F1260"/>
    <w:rsid w:val="FB58B38A"/>
    <w:rsid w:val="FEFF9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3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8">
    <w:name w:val="heading 2"/>
    <w:basedOn w:val="1"/>
    <w:next w:val="9"/>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10">
    <w:name w:val="heading 3"/>
    <w:basedOn w:val="1"/>
    <w:next w:val="9"/>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11">
    <w:name w:val="heading 4"/>
    <w:basedOn w:val="1"/>
    <w:next w:val="1"/>
    <w:link w:val="234"/>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12">
    <w:name w:val="heading 5"/>
    <w:basedOn w:val="1"/>
    <w:next w:val="1"/>
    <w:link w:val="235"/>
    <w:qFormat/>
    <w:uiPriority w:val="0"/>
    <w:pPr>
      <w:keepNext/>
      <w:keepLines/>
      <w:adjustRightInd w:val="0"/>
      <w:spacing w:before="280" w:after="290" w:line="376" w:lineRule="atLeast"/>
      <w:textAlignment w:val="baseline"/>
      <w:outlineLvl w:val="4"/>
    </w:pPr>
    <w:rPr>
      <w:b/>
      <w:kern w:val="0"/>
      <w:sz w:val="28"/>
      <w:szCs w:val="20"/>
    </w:rPr>
  </w:style>
  <w:style w:type="paragraph" w:styleId="13">
    <w:name w:val="heading 6"/>
    <w:basedOn w:val="1"/>
    <w:next w:val="1"/>
    <w:link w:val="23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4">
    <w:name w:val="heading 7"/>
    <w:basedOn w:val="1"/>
    <w:next w:val="1"/>
    <w:link w:val="237"/>
    <w:qFormat/>
    <w:uiPriority w:val="0"/>
    <w:pPr>
      <w:keepNext/>
      <w:keepLines/>
      <w:adjustRightInd w:val="0"/>
      <w:spacing w:before="240" w:after="64" w:line="320" w:lineRule="atLeast"/>
      <w:textAlignment w:val="baseline"/>
      <w:outlineLvl w:val="6"/>
    </w:pPr>
    <w:rPr>
      <w:b/>
      <w:kern w:val="0"/>
      <w:sz w:val="24"/>
      <w:szCs w:val="20"/>
    </w:rPr>
  </w:style>
  <w:style w:type="paragraph" w:styleId="15">
    <w:name w:val="heading 8"/>
    <w:basedOn w:val="1"/>
    <w:next w:val="1"/>
    <w:link w:val="23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6">
    <w:name w:val="heading 9"/>
    <w:basedOn w:val="1"/>
    <w:next w:val="1"/>
    <w:link w:val="23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next w:val="5"/>
    <w:qFormat/>
    <w:uiPriority w:val="0"/>
    <w:pPr>
      <w:ind w:firstLine="420" w:firstLineChars="100"/>
    </w:pPr>
    <w:rPr>
      <w:rFonts w:cstheme="minorBidi"/>
    </w:rPr>
  </w:style>
  <w:style w:type="paragraph" w:customStyle="1" w:styleId="3">
    <w:name w:val="BodyText"/>
    <w:basedOn w:val="1"/>
    <w:next w:val="4"/>
    <w:qFormat/>
    <w:uiPriority w:val="0"/>
    <w:pPr>
      <w:spacing w:after="120"/>
    </w:pPr>
    <w:rPr>
      <w:sz w:val="24"/>
    </w:rPr>
  </w:style>
  <w:style w:type="paragraph" w:customStyle="1" w:styleId="4">
    <w:name w:val="TOC2"/>
    <w:basedOn w:val="1"/>
    <w:next w:val="1"/>
    <w:qFormat/>
    <w:uiPriority w:val="0"/>
    <w:pPr>
      <w:ind w:left="420" w:leftChars="200"/>
    </w:pPr>
  </w:style>
  <w:style w:type="paragraph" w:customStyle="1" w:styleId="5">
    <w:name w:val="UserStyle_0"/>
    <w:basedOn w:val="1"/>
    <w:next w:val="6"/>
    <w:qFormat/>
    <w:uiPriority w:val="0"/>
    <w:pPr>
      <w:spacing w:line="440" w:lineRule="exact"/>
    </w:pPr>
    <w:rPr>
      <w:rFonts w:ascii="仿宋_GB2312" w:eastAsia="仿宋_GB2312"/>
    </w:rPr>
  </w:style>
  <w:style w:type="paragraph" w:customStyle="1" w:styleId="6">
    <w:name w:val="Index8"/>
    <w:basedOn w:val="1"/>
    <w:next w:val="1"/>
    <w:qFormat/>
    <w:uiPriority w:val="0"/>
    <w:pPr>
      <w:ind w:left="1400" w:leftChars="1400"/>
    </w:pPr>
  </w:style>
  <w:style w:type="paragraph" w:styleId="9">
    <w:name w:val="Normal Indent"/>
    <w:basedOn w:val="1"/>
    <w:link w:val="66"/>
    <w:qFormat/>
    <w:uiPriority w:val="0"/>
    <w:pPr>
      <w:autoSpaceDE w:val="0"/>
      <w:autoSpaceDN w:val="0"/>
      <w:adjustRightInd w:val="0"/>
      <w:ind w:firstLine="420"/>
      <w:jc w:val="left"/>
    </w:pPr>
    <w:rPr>
      <w:rFonts w:ascii="宋体"/>
      <w:sz w:val="24"/>
    </w:rPr>
  </w:style>
  <w:style w:type="paragraph" w:styleId="17">
    <w:name w:val="toc 7"/>
    <w:basedOn w:val="1"/>
    <w:next w:val="1"/>
    <w:qFormat/>
    <w:uiPriority w:val="0"/>
    <w:pPr>
      <w:ind w:left="2520" w:leftChars="1200"/>
    </w:pPr>
  </w:style>
  <w:style w:type="paragraph" w:styleId="18">
    <w:name w:val="caption"/>
    <w:basedOn w:val="1"/>
    <w:next w:val="1"/>
    <w:qFormat/>
    <w:uiPriority w:val="0"/>
    <w:pPr>
      <w:spacing w:line="480" w:lineRule="auto"/>
    </w:pPr>
    <w:rPr>
      <w:rFonts w:ascii="华文中宋" w:hAnsi="华文中宋" w:eastAsia="华文中宋"/>
      <w:sz w:val="36"/>
      <w:szCs w:val="20"/>
    </w:rPr>
  </w:style>
  <w:style w:type="paragraph" w:styleId="19">
    <w:name w:val="Document Map"/>
    <w:basedOn w:val="1"/>
    <w:link w:val="240"/>
    <w:qFormat/>
    <w:uiPriority w:val="0"/>
    <w:pPr>
      <w:shd w:val="clear" w:color="auto" w:fill="000080"/>
    </w:pPr>
  </w:style>
  <w:style w:type="paragraph" w:styleId="20">
    <w:name w:val="annotation text"/>
    <w:basedOn w:val="1"/>
    <w:link w:val="186"/>
    <w:qFormat/>
    <w:uiPriority w:val="99"/>
    <w:pPr>
      <w:jc w:val="left"/>
    </w:pPr>
  </w:style>
  <w:style w:type="paragraph" w:styleId="21">
    <w:name w:val="Body Text 3"/>
    <w:basedOn w:val="1"/>
    <w:link w:val="241"/>
    <w:qFormat/>
    <w:uiPriority w:val="0"/>
    <w:pPr>
      <w:spacing w:after="120"/>
    </w:pPr>
    <w:rPr>
      <w:sz w:val="16"/>
      <w:szCs w:val="16"/>
    </w:rPr>
  </w:style>
  <w:style w:type="paragraph" w:styleId="22">
    <w:name w:val="Body Text"/>
    <w:basedOn w:val="1"/>
    <w:link w:val="242"/>
    <w:qFormat/>
    <w:uiPriority w:val="0"/>
    <w:pPr>
      <w:tabs>
        <w:tab w:val="left" w:pos="567"/>
      </w:tabs>
      <w:spacing w:before="120" w:line="22" w:lineRule="atLeast"/>
    </w:pPr>
    <w:rPr>
      <w:rFonts w:ascii="宋体" w:hAnsi="宋体"/>
      <w:sz w:val="24"/>
    </w:rPr>
  </w:style>
  <w:style w:type="paragraph" w:styleId="23">
    <w:name w:val="Body Text Indent"/>
    <w:basedOn w:val="1"/>
    <w:link w:val="71"/>
    <w:qFormat/>
    <w:uiPriority w:val="0"/>
    <w:pPr>
      <w:spacing w:line="360" w:lineRule="auto"/>
      <w:ind w:firstLine="570"/>
    </w:pPr>
    <w:rPr>
      <w:sz w:val="24"/>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widowControl/>
      <w:ind w:left="480" w:right="-341" w:firstLine="513"/>
    </w:pPr>
    <w:rPr>
      <w:kern w:val="0"/>
      <w:sz w:val="24"/>
      <w:szCs w:val="20"/>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link w:val="206"/>
    <w:qFormat/>
    <w:uiPriority w:val="0"/>
    <w:rPr>
      <w:rFonts w:hint="eastAsia"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243"/>
    <w:qFormat/>
    <w:uiPriority w:val="0"/>
    <w:pPr>
      <w:ind w:left="100" w:leftChars="2500"/>
    </w:pPr>
    <w:rPr>
      <w:rFonts w:ascii="仿宋_GB2312" w:hAnsi="宋体" w:eastAsia="仿宋_GB2312"/>
      <w:color w:val="000000"/>
      <w:sz w:val="24"/>
    </w:rPr>
  </w:style>
  <w:style w:type="paragraph" w:styleId="31">
    <w:name w:val="Body Text Indent 2"/>
    <w:basedOn w:val="1"/>
    <w:link w:val="244"/>
    <w:qFormat/>
    <w:uiPriority w:val="0"/>
    <w:pPr>
      <w:ind w:firstLine="480" w:firstLineChars="200"/>
    </w:pPr>
    <w:rPr>
      <w:rFonts w:ascii="仿宋_GB2312" w:eastAsia="仿宋_GB2312"/>
      <w:sz w:val="24"/>
    </w:rPr>
  </w:style>
  <w:style w:type="paragraph" w:styleId="32">
    <w:name w:val="Balloon Text"/>
    <w:basedOn w:val="1"/>
    <w:link w:val="245"/>
    <w:qFormat/>
    <w:uiPriority w:val="0"/>
    <w:rPr>
      <w:sz w:val="18"/>
      <w:szCs w:val="18"/>
    </w:rPr>
  </w:style>
  <w:style w:type="paragraph" w:styleId="33">
    <w:name w:val="footer"/>
    <w:basedOn w:val="1"/>
    <w:link w:val="1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4">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6">
    <w:name w:val="toc 4"/>
    <w:basedOn w:val="1"/>
    <w:next w:val="1"/>
    <w:qFormat/>
    <w:uiPriority w:val="0"/>
    <w:pPr>
      <w:ind w:left="1260" w:leftChars="600"/>
    </w:pPr>
  </w:style>
  <w:style w:type="paragraph" w:styleId="37">
    <w:name w:val="toc 6"/>
    <w:basedOn w:val="1"/>
    <w:next w:val="1"/>
    <w:qFormat/>
    <w:uiPriority w:val="0"/>
    <w:pPr>
      <w:ind w:left="2100" w:leftChars="1000"/>
    </w:pPr>
  </w:style>
  <w:style w:type="paragraph" w:styleId="38">
    <w:name w:val="Body Text Indent 3"/>
    <w:basedOn w:val="1"/>
    <w:link w:val="24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qFormat/>
    <w:uiPriority w:val="39"/>
    <w:pPr>
      <w:tabs>
        <w:tab w:val="right" w:leader="dot" w:pos="8937"/>
      </w:tabs>
      <w:spacing w:line="312" w:lineRule="auto"/>
      <w:ind w:left="420" w:leftChars="200"/>
    </w:pPr>
  </w:style>
  <w:style w:type="paragraph" w:styleId="40">
    <w:name w:val="toc 9"/>
    <w:basedOn w:val="1"/>
    <w:next w:val="1"/>
    <w:qFormat/>
    <w:uiPriority w:val="0"/>
    <w:pPr>
      <w:ind w:left="3360" w:leftChars="1600"/>
    </w:pPr>
  </w:style>
  <w:style w:type="paragraph" w:styleId="41">
    <w:name w:val="HTML Preformatted"/>
    <w:basedOn w:val="1"/>
    <w:link w:val="2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rPr>
      <w:szCs w:val="20"/>
    </w:rPr>
  </w:style>
  <w:style w:type="paragraph" w:styleId="44">
    <w:name w:val="Title"/>
    <w:basedOn w:val="1"/>
    <w:link w:val="192"/>
    <w:qFormat/>
    <w:uiPriority w:val="0"/>
    <w:pPr>
      <w:jc w:val="center"/>
      <w:outlineLvl w:val="0"/>
    </w:pPr>
    <w:rPr>
      <w:b/>
      <w:sz w:val="32"/>
      <w:szCs w:val="20"/>
    </w:rPr>
  </w:style>
  <w:style w:type="paragraph" w:styleId="45">
    <w:name w:val="annotation subject"/>
    <w:basedOn w:val="20"/>
    <w:next w:val="20"/>
    <w:link w:val="248"/>
    <w:qFormat/>
    <w:uiPriority w:val="0"/>
    <w:rPr>
      <w:b/>
      <w:bCs/>
    </w:rPr>
  </w:style>
  <w:style w:type="paragraph" w:styleId="46">
    <w:name w:val="Body Text First Indent 2"/>
    <w:basedOn w:val="23"/>
    <w:link w:val="249"/>
    <w:qFormat/>
    <w:uiPriority w:val="0"/>
    <w:pPr>
      <w:spacing w:after="120" w:line="480" w:lineRule="exact"/>
      <w:ind w:left="420" w:leftChars="200" w:firstLine="420" w:firstLineChars="200"/>
    </w:pPr>
    <w:rPr>
      <w:szCs w:val="20"/>
    </w:rPr>
  </w:style>
  <w:style w:type="table" w:styleId="48">
    <w:name w:val="Table Grid"/>
    <w:basedOn w:val="4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标题 2 字符"/>
    <w:link w:val="8"/>
    <w:qFormat/>
    <w:uiPriority w:val="0"/>
    <w:rPr>
      <w:rFonts w:ascii="Arial" w:hAnsi="Arial" w:eastAsia="黑体"/>
      <w:b/>
      <w:sz w:val="30"/>
      <w:lang w:val="en-US" w:eastAsia="zh-CN" w:bidi="ar-SA"/>
    </w:rPr>
  </w:style>
  <w:style w:type="character" w:customStyle="1" w:styleId="59">
    <w:name w:val="标题 3 字符"/>
    <w:link w:val="10"/>
    <w:qFormat/>
    <w:uiPriority w:val="0"/>
    <w:rPr>
      <w:rFonts w:ascii="宋体" w:eastAsia="宋体"/>
      <w:b/>
      <w:sz w:val="24"/>
      <w:u w:val="single"/>
      <w:lang w:val="en-US" w:eastAsia="zh-CN" w:bidi="ar-SA"/>
    </w:rPr>
  </w:style>
  <w:style w:type="character" w:customStyle="1" w:styleId="60">
    <w:name w:val="c21"/>
    <w:qFormat/>
    <w:uiPriority w:val="0"/>
    <w:rPr>
      <w:rFonts w:hint="default" w:ascii="ˎ̥" w:hAnsi="ˎ̥"/>
      <w:color w:val="000000"/>
      <w:sz w:val="20"/>
      <w:szCs w:val="20"/>
      <w:u w:val="none"/>
    </w:rPr>
  </w:style>
  <w:style w:type="character" w:customStyle="1" w:styleId="61">
    <w:name w:val="title4"/>
    <w:qFormat/>
    <w:uiPriority w:val="0"/>
    <w:rPr>
      <w:b/>
      <w:bCs/>
      <w:color w:val="1D87B3"/>
      <w:sz w:val="15"/>
      <w:szCs w:val="15"/>
    </w:rPr>
  </w:style>
  <w:style w:type="character" w:customStyle="1" w:styleId="62">
    <w:name w:val="标题 2 Char Char"/>
    <w:qFormat/>
    <w:uiPriority w:val="0"/>
    <w:rPr>
      <w:rFonts w:ascii="Arial" w:hAnsi="Arial" w:eastAsia="黑体"/>
      <w:b/>
      <w:bCs/>
      <w:kern w:val="2"/>
      <w:sz w:val="32"/>
      <w:szCs w:val="32"/>
      <w:lang w:val="en-US" w:eastAsia="zh-CN" w:bidi="ar-SA"/>
    </w:rPr>
  </w:style>
  <w:style w:type="character" w:customStyle="1" w:styleId="63">
    <w:name w:val="black1"/>
    <w:qFormat/>
    <w:uiPriority w:val="0"/>
    <w:rPr>
      <w:color w:val="000000"/>
    </w:rPr>
  </w:style>
  <w:style w:type="character" w:customStyle="1" w:styleId="64">
    <w:name w:val="street-address"/>
    <w:basedOn w:val="50"/>
    <w:qFormat/>
    <w:uiPriority w:val="0"/>
  </w:style>
  <w:style w:type="character" w:customStyle="1" w:styleId="65">
    <w:name w:val="locality"/>
    <w:basedOn w:val="50"/>
    <w:qFormat/>
    <w:uiPriority w:val="0"/>
  </w:style>
  <w:style w:type="character" w:customStyle="1" w:styleId="66">
    <w:name w:val="正文缩进 字符"/>
    <w:link w:val="9"/>
    <w:qFormat/>
    <w:uiPriority w:val="0"/>
    <w:rPr>
      <w:rFonts w:ascii="宋体" w:eastAsia="宋体"/>
      <w:kern w:val="2"/>
      <w:sz w:val="24"/>
      <w:szCs w:val="24"/>
      <w:lang w:val="en-US" w:eastAsia="zh-CN" w:bidi="ar-SA"/>
    </w:rPr>
  </w:style>
  <w:style w:type="character" w:customStyle="1" w:styleId="67">
    <w:name w:val="正文文本缩进 Char1"/>
    <w:link w:val="68"/>
    <w:qFormat/>
    <w:uiPriority w:val="0"/>
    <w:rPr>
      <w:rFonts w:ascii="宋体" w:hAnsi="宋体" w:eastAsia="宋体"/>
      <w:sz w:val="24"/>
      <w:szCs w:val="24"/>
      <w:lang w:bidi="ar-SA"/>
    </w:rPr>
  </w:style>
  <w:style w:type="paragraph" w:customStyle="1" w:styleId="68">
    <w:name w:val="正文文本缩进1"/>
    <w:basedOn w:val="1"/>
    <w:link w:val="67"/>
    <w:qFormat/>
    <w:uiPriority w:val="0"/>
    <w:pPr>
      <w:spacing w:line="480" w:lineRule="exact"/>
      <w:ind w:firstLine="480" w:firstLineChars="200"/>
    </w:pPr>
    <w:rPr>
      <w:rFonts w:ascii="宋体" w:hAnsi="宋体"/>
      <w:kern w:val="0"/>
      <w:sz w:val="24"/>
    </w:rPr>
  </w:style>
  <w:style w:type="character" w:customStyle="1" w:styleId="69">
    <w:name w:val="Char Char11"/>
    <w:qFormat/>
    <w:uiPriority w:val="0"/>
    <w:rPr>
      <w:rFonts w:ascii="宋体" w:eastAsia="宋体"/>
      <w:b/>
      <w:sz w:val="24"/>
      <w:u w:val="single"/>
      <w:lang w:val="en-US" w:eastAsia="zh-CN" w:bidi="ar-SA"/>
    </w:rPr>
  </w:style>
  <w:style w:type="character" w:customStyle="1" w:styleId="70">
    <w:name w:val="txt"/>
    <w:basedOn w:val="50"/>
    <w:qFormat/>
    <w:uiPriority w:val="0"/>
  </w:style>
  <w:style w:type="character" w:customStyle="1" w:styleId="71">
    <w:name w:val="正文文本缩进 字符"/>
    <w:link w:val="23"/>
    <w:qFormat/>
    <w:uiPriority w:val="0"/>
    <w:rPr>
      <w:rFonts w:eastAsia="宋体"/>
      <w:kern w:val="2"/>
      <w:sz w:val="24"/>
      <w:szCs w:val="24"/>
      <w:lang w:val="en-US" w:eastAsia="zh-CN" w:bidi="ar-SA"/>
    </w:rPr>
  </w:style>
  <w:style w:type="character" w:customStyle="1" w:styleId="72">
    <w:name w:val="正文缩进 Char Char"/>
    <w:link w:val="73"/>
    <w:qFormat/>
    <w:uiPriority w:val="0"/>
    <w:rPr>
      <w:rFonts w:ascii="宋体" w:eastAsia="宋体"/>
      <w:snapToGrid w:val="0"/>
      <w:color w:val="000000"/>
      <w:kern w:val="28"/>
      <w:sz w:val="28"/>
      <w:lang w:bidi="ar-SA"/>
    </w:rPr>
  </w:style>
  <w:style w:type="paragraph" w:customStyle="1" w:styleId="73">
    <w:name w:val="正文缩进1"/>
    <w:basedOn w:val="1"/>
    <w:link w:val="7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4">
    <w:name w:val="普通文字1 Char1"/>
    <w:qFormat/>
    <w:uiPriority w:val="0"/>
    <w:rPr>
      <w:rFonts w:ascii="宋体" w:hAnsi="Courier New" w:eastAsia="宋体"/>
      <w:kern w:val="2"/>
      <w:sz w:val="21"/>
      <w:lang w:val="en-US" w:eastAsia="zh-CN" w:bidi="ar-SA"/>
    </w:rPr>
  </w:style>
  <w:style w:type="character" w:customStyle="1" w:styleId="75">
    <w:name w:val="chanpin1"/>
    <w:qFormat/>
    <w:uiPriority w:val="0"/>
    <w:rPr>
      <w:rFonts w:hint="default" w:ascii="ˎ̥" w:hAnsi="ˎ̥"/>
      <w:color w:val="000000"/>
      <w:sz w:val="20"/>
      <w:szCs w:val="20"/>
      <w:u w:val="none"/>
    </w:rPr>
  </w:style>
  <w:style w:type="character" w:customStyle="1" w:styleId="76">
    <w:name w:val="列表段落 字符"/>
    <w:link w:val="77"/>
    <w:qFormat/>
    <w:uiPriority w:val="34"/>
    <w:rPr>
      <w:rFonts w:ascii="Calibri" w:hAnsi="Calibri" w:eastAsia="宋体"/>
      <w:kern w:val="2"/>
      <w:sz w:val="21"/>
      <w:szCs w:val="22"/>
      <w:lang w:val="en-US" w:eastAsia="zh-CN" w:bidi="ar-SA"/>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标题 3 Char Char"/>
    <w:qFormat/>
    <w:uiPriority w:val="0"/>
    <w:rPr>
      <w:rFonts w:eastAsia="宋体"/>
      <w:b/>
      <w:bCs/>
      <w:kern w:val="2"/>
      <w:sz w:val="32"/>
      <w:szCs w:val="32"/>
      <w:lang w:val="en-US" w:eastAsia="zh-CN" w:bidi="ar-SA"/>
    </w:rPr>
  </w:style>
  <w:style w:type="character" w:customStyle="1" w:styleId="79">
    <w:name w:val="段1 Char"/>
    <w:qFormat/>
    <w:uiPriority w:val="0"/>
    <w:rPr>
      <w:rFonts w:ascii="宋体" w:eastAsia="宋体"/>
      <w:sz w:val="24"/>
      <w:lang w:val="en-US" w:eastAsia="zh-CN" w:bidi="ar-SA"/>
    </w:rPr>
  </w:style>
  <w:style w:type="character" w:customStyle="1" w:styleId="80">
    <w:name w:val="页眉 字符"/>
    <w:link w:val="34"/>
    <w:qFormat/>
    <w:uiPriority w:val="0"/>
    <w:rPr>
      <w:rFonts w:eastAsia="宋体"/>
      <w:kern w:val="2"/>
      <w:sz w:val="18"/>
      <w:szCs w:val="18"/>
      <w:lang w:val="en-US" w:eastAsia="zh-CN" w:bidi="ar-SA"/>
    </w:rPr>
  </w:style>
  <w:style w:type="character" w:customStyle="1" w:styleId="81">
    <w:name w:val="chanpin拷贝"/>
    <w:basedOn w:val="50"/>
    <w:qFormat/>
    <w:uiPriority w:val="0"/>
  </w:style>
  <w:style w:type="character" w:customStyle="1" w:styleId="82">
    <w:name w:val="纯文本 Char1"/>
    <w:qFormat/>
    <w:uiPriority w:val="0"/>
    <w:rPr>
      <w:rFonts w:ascii="宋体" w:hAnsi="Courier New" w:eastAsia="宋体"/>
      <w:kern w:val="2"/>
      <w:sz w:val="21"/>
      <w:lang w:val="en-US" w:eastAsia="zh-CN" w:bidi="ar-SA"/>
    </w:rPr>
  </w:style>
  <w:style w:type="character" w:customStyle="1" w:styleId="83">
    <w:name w:val="apple-style-span"/>
    <w:qFormat/>
    <w:uiPriority w:val="0"/>
    <w:rPr>
      <w:rFonts w:cs="Times New Roman"/>
    </w:rPr>
  </w:style>
  <w:style w:type="paragraph" w:customStyle="1" w:styleId="84">
    <w:name w:val="二级条标题"/>
    <w:basedOn w:val="85"/>
    <w:next w:val="1"/>
    <w:qFormat/>
    <w:uiPriority w:val="0"/>
    <w:pPr>
      <w:numPr>
        <w:numId w:val="0"/>
      </w:numPr>
      <w:tabs>
        <w:tab w:val="left" w:pos="360"/>
        <w:tab w:val="left" w:pos="840"/>
      </w:tabs>
      <w:ind w:hanging="840"/>
      <w:outlineLvl w:val="2"/>
    </w:pPr>
    <w:rPr>
      <w:rFonts w:ascii="宋体" w:eastAsia="宋体"/>
      <w:b w:val="0"/>
    </w:rPr>
  </w:style>
  <w:style w:type="paragraph" w:customStyle="1" w:styleId="85">
    <w:name w:val="一级条标题"/>
    <w:basedOn w:val="86"/>
    <w:next w:val="1"/>
    <w:qFormat/>
    <w:uiPriority w:val="0"/>
    <w:pPr>
      <w:numPr>
        <w:ilvl w:val="1"/>
      </w:numPr>
      <w:tabs>
        <w:tab w:val="left" w:pos="360"/>
        <w:tab w:val="left" w:pos="840"/>
      </w:tabs>
      <w:ind w:left="0" w:hanging="840"/>
      <w:outlineLvl w:val="1"/>
    </w:pPr>
  </w:style>
  <w:style w:type="paragraph" w:customStyle="1" w:styleId="8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8">
    <w:name w:val="字元 字元"/>
    <w:basedOn w:val="1"/>
    <w:qFormat/>
    <w:uiPriority w:val="0"/>
    <w:rPr>
      <w:rFonts w:ascii="Tahoma" w:hAnsi="Tahoma"/>
      <w:sz w:val="24"/>
      <w:szCs w:val="20"/>
    </w:rPr>
  </w:style>
  <w:style w:type="paragraph" w:customStyle="1" w:styleId="89">
    <w:name w:val="Char3 Char Char Char"/>
    <w:basedOn w:val="1"/>
    <w:qFormat/>
    <w:uiPriority w:val="0"/>
    <w:rPr>
      <w:rFonts w:ascii="Tahoma" w:hAnsi="Tahoma"/>
      <w:sz w:val="24"/>
      <w:szCs w:val="20"/>
    </w:rPr>
  </w:style>
  <w:style w:type="paragraph" w:customStyle="1" w:styleId="9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1">
    <w:name w:val="项目编号2"/>
    <w:basedOn w:val="92"/>
    <w:qFormat/>
    <w:uiPriority w:val="0"/>
    <w:pPr>
      <w:numPr>
        <w:numId w:val="2"/>
      </w:numPr>
    </w:pPr>
  </w:style>
  <w:style w:type="paragraph" w:customStyle="1" w:styleId="92">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3">
    <w:name w:val="图中文字"/>
    <w:basedOn w:val="1"/>
    <w:qFormat/>
    <w:uiPriority w:val="0"/>
    <w:pPr>
      <w:adjustRightInd w:val="0"/>
      <w:snapToGrid w:val="0"/>
      <w:spacing w:line="0" w:lineRule="atLeast"/>
      <w:jc w:val="center"/>
    </w:pPr>
    <w:rPr>
      <w:sz w:val="24"/>
      <w:szCs w:val="20"/>
    </w:rPr>
  </w:style>
  <w:style w:type="paragraph" w:customStyle="1" w:styleId="9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6">
    <w:name w:val="Char2"/>
    <w:basedOn w:val="1"/>
    <w:qFormat/>
    <w:uiPriority w:val="0"/>
    <w:rPr>
      <w:rFonts w:ascii="Tahoma" w:hAnsi="Tahoma"/>
      <w:sz w:val="24"/>
      <w:szCs w:val="20"/>
    </w:rPr>
  </w:style>
  <w:style w:type="paragraph" w:customStyle="1" w:styleId="9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0">
    <w:name w:val="font8"/>
    <w:basedOn w:val="1"/>
    <w:qFormat/>
    <w:uiPriority w:val="0"/>
    <w:pPr>
      <w:widowControl/>
      <w:spacing w:before="100" w:beforeAutospacing="1" w:after="100" w:afterAutospacing="1"/>
      <w:jc w:val="left"/>
    </w:pPr>
    <w:rPr>
      <w:kern w:val="0"/>
      <w:sz w:val="36"/>
      <w:szCs w:val="36"/>
    </w:rPr>
  </w:style>
  <w:style w:type="paragraph" w:customStyle="1" w:styleId="111">
    <w:name w:val="Char"/>
    <w:basedOn w:val="1"/>
    <w:qFormat/>
    <w:uiPriority w:val="0"/>
    <w:pPr>
      <w:tabs>
        <w:tab w:val="left" w:pos="360"/>
      </w:tabs>
    </w:pPr>
    <w:rPr>
      <w:sz w:val="24"/>
    </w:rPr>
  </w:style>
  <w:style w:type="paragraph" w:customStyle="1" w:styleId="11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Char Char1"/>
    <w:basedOn w:val="19"/>
    <w:qFormat/>
    <w:uiPriority w:val="0"/>
    <w:rPr>
      <w:rFonts w:ascii="Tahoma" w:hAnsi="Tahoma"/>
      <w:sz w:val="24"/>
    </w:rPr>
  </w:style>
  <w:style w:type="paragraph" w:customStyle="1" w:styleId="1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0">
    <w:name w:val="Char1 Char Char Char1"/>
    <w:basedOn w:val="1"/>
    <w:qFormat/>
    <w:uiPriority w:val="0"/>
    <w:rPr>
      <w:rFonts w:ascii="Tahoma" w:hAnsi="Tahoma" w:cs="仿宋_GB2312"/>
      <w:sz w:val="24"/>
      <w:szCs w:val="28"/>
    </w:rPr>
  </w:style>
  <w:style w:type="paragraph" w:customStyle="1" w:styleId="121">
    <w:name w:val="四级条标题"/>
    <w:basedOn w:val="122"/>
    <w:next w:val="1"/>
    <w:qFormat/>
    <w:uiPriority w:val="0"/>
    <w:pPr>
      <w:numPr>
        <w:ilvl w:val="4"/>
      </w:numPr>
      <w:tabs>
        <w:tab w:val="left" w:pos="360"/>
        <w:tab w:val="left" w:pos="840"/>
      </w:tabs>
      <w:ind w:left="0" w:hanging="840"/>
      <w:outlineLvl w:val="4"/>
    </w:pPr>
  </w:style>
  <w:style w:type="paragraph" w:customStyle="1" w:styleId="122">
    <w:name w:val="三级条标题"/>
    <w:basedOn w:val="84"/>
    <w:next w:val="1"/>
    <w:qFormat/>
    <w:uiPriority w:val="0"/>
    <w:pPr>
      <w:numPr>
        <w:ilvl w:val="3"/>
        <w:numId w:val="1"/>
      </w:numPr>
      <w:ind w:left="0" w:hanging="840"/>
      <w:outlineLvl w:val="3"/>
    </w:pPr>
  </w:style>
  <w:style w:type="paragraph" w:customStyle="1" w:styleId="12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4">
    <w:name w:val="样式 标题 2 + 宋体 五号 行距: 单倍行距"/>
    <w:basedOn w:val="8"/>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5">
    <w:name w:val="List Paragraph1"/>
    <w:basedOn w:val="1"/>
    <w:qFormat/>
    <w:uiPriority w:val="0"/>
    <w:pPr>
      <w:ind w:firstLine="420" w:firstLineChars="200"/>
    </w:pPr>
    <w:rPr>
      <w:rFonts w:ascii="Calibri" w:hAnsi="Calibri"/>
      <w:szCs w:val="22"/>
    </w:rPr>
  </w:style>
  <w:style w:type="paragraph" w:customStyle="1" w:styleId="126">
    <w:name w:val="项目符号1"/>
    <w:basedOn w:val="127"/>
    <w:qFormat/>
    <w:uiPriority w:val="0"/>
    <w:pPr>
      <w:ind w:left="-25" w:firstLine="0"/>
    </w:pPr>
  </w:style>
  <w:style w:type="paragraph" w:customStyle="1" w:styleId="127">
    <w:name w:val="正文文本样式"/>
    <w:basedOn w:val="1"/>
    <w:qFormat/>
    <w:uiPriority w:val="0"/>
    <w:pPr>
      <w:spacing w:line="360" w:lineRule="auto"/>
      <w:ind w:firstLine="482"/>
    </w:pPr>
    <w:rPr>
      <w:rFonts w:cs="宋体"/>
      <w:sz w:val="24"/>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五级条标题"/>
    <w:basedOn w:val="121"/>
    <w:next w:val="1"/>
    <w:qFormat/>
    <w:uiPriority w:val="0"/>
    <w:pPr>
      <w:numPr>
        <w:ilvl w:val="5"/>
      </w:numPr>
      <w:ind w:left="0" w:hanging="840"/>
      <w:outlineLvl w:val="5"/>
    </w:pPr>
  </w:style>
  <w:style w:type="paragraph" w:customStyle="1" w:styleId="13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2">
    <w:name w:val="文档正文"/>
    <w:basedOn w:val="1"/>
    <w:qFormat/>
    <w:uiPriority w:val="0"/>
    <w:pPr>
      <w:snapToGrid w:val="0"/>
      <w:spacing w:before="120" w:after="120" w:line="180" w:lineRule="auto"/>
    </w:pPr>
    <w:rPr>
      <w:rFonts w:ascii="Arial" w:hAnsi="Arial"/>
      <w:szCs w:val="20"/>
    </w:rPr>
  </w:style>
  <w:style w:type="paragraph" w:customStyle="1" w:styleId="13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5">
    <w:name w:val="Char Char Char1 Char"/>
    <w:basedOn w:val="1"/>
    <w:qFormat/>
    <w:uiPriority w:val="0"/>
    <w:rPr>
      <w:rFonts w:ascii="Tahoma" w:hAnsi="Tahoma"/>
      <w:sz w:val="24"/>
      <w:szCs w:val="20"/>
    </w:rPr>
  </w:style>
  <w:style w:type="paragraph" w:customStyle="1" w:styleId="13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7">
    <w:name w:val="1名"/>
    <w:basedOn w:val="1"/>
    <w:qFormat/>
    <w:uiPriority w:val="0"/>
    <w:pPr>
      <w:numPr>
        <w:ilvl w:val="0"/>
        <w:numId w:val="5"/>
      </w:numPr>
      <w:spacing w:before="120"/>
    </w:pPr>
    <w:rPr>
      <w:rFonts w:ascii="宋体"/>
      <w:sz w:val="28"/>
      <w:szCs w:val="20"/>
    </w:rPr>
  </w:style>
  <w:style w:type="paragraph" w:customStyle="1" w:styleId="13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9">
    <w:name w:val="Char Char Char1 Char1"/>
    <w:basedOn w:val="1"/>
    <w:qFormat/>
    <w:uiPriority w:val="0"/>
    <w:rPr>
      <w:rFonts w:ascii="Tahoma" w:hAnsi="Tahoma"/>
      <w:sz w:val="24"/>
      <w:szCs w:val="20"/>
    </w:rPr>
  </w:style>
  <w:style w:type="paragraph" w:customStyle="1" w:styleId="140">
    <w:name w:val="Char Char Char Char Char Char Char Char Char Char"/>
    <w:basedOn w:val="1"/>
    <w:qFormat/>
    <w:uiPriority w:val="0"/>
  </w:style>
  <w:style w:type="paragraph" w:customStyle="1" w:styleId="14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Char1"/>
    <w:basedOn w:val="1"/>
    <w:qFormat/>
    <w:uiPriority w:val="0"/>
    <w:pPr>
      <w:tabs>
        <w:tab w:val="left" w:pos="360"/>
      </w:tabs>
    </w:pPr>
    <w:rPr>
      <w:sz w:val="24"/>
    </w:rPr>
  </w:style>
  <w:style w:type="paragraph" w:customStyle="1" w:styleId="14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6">
    <w:name w:val="默认段落字体 Para Char Char Char Char"/>
    <w:basedOn w:val="1"/>
    <w:qFormat/>
    <w:uiPriority w:val="0"/>
    <w:rPr>
      <w:rFonts w:ascii="Arial" w:hAnsi="Arial" w:cs="Arial"/>
      <w:szCs w:val="21"/>
    </w:rPr>
  </w:style>
  <w:style w:type="paragraph" w:customStyle="1" w:styleId="14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0">
    <w:name w:val="Char Char Char"/>
    <w:basedOn w:val="1"/>
    <w:qFormat/>
    <w:uiPriority w:val="0"/>
    <w:rPr>
      <w:rFonts w:ascii="Tahoma" w:hAnsi="Tahoma"/>
      <w:sz w:val="24"/>
      <w:szCs w:val="20"/>
    </w:rPr>
  </w:style>
  <w:style w:type="paragraph" w:customStyle="1" w:styleId="1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2">
    <w:name w:val="缺省文本"/>
    <w:basedOn w:val="1"/>
    <w:qFormat/>
    <w:uiPriority w:val="0"/>
    <w:pPr>
      <w:autoSpaceDE w:val="0"/>
      <w:autoSpaceDN w:val="0"/>
      <w:adjustRightInd w:val="0"/>
      <w:jc w:val="left"/>
    </w:pPr>
    <w:rPr>
      <w:kern w:val="0"/>
      <w:sz w:val="24"/>
    </w:rPr>
  </w:style>
  <w:style w:type="paragraph" w:customStyle="1" w:styleId="153">
    <w:name w:val="Char Char Char1"/>
    <w:basedOn w:val="1"/>
    <w:qFormat/>
    <w:uiPriority w:val="0"/>
    <w:rPr>
      <w:rFonts w:ascii="Tahoma" w:hAnsi="Tahoma"/>
      <w:sz w:val="24"/>
      <w:szCs w:val="20"/>
    </w:rPr>
  </w:style>
  <w:style w:type="paragraph" w:customStyle="1" w:styleId="15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6">
    <w:name w:val="样式2"/>
    <w:basedOn w:val="43"/>
    <w:qFormat/>
    <w:uiPriority w:val="0"/>
    <w:pPr>
      <w:spacing w:line="360" w:lineRule="auto"/>
      <w:jc w:val="center"/>
    </w:pPr>
    <w:rPr>
      <w:sz w:val="24"/>
    </w:rPr>
  </w:style>
  <w:style w:type="paragraph" w:customStyle="1" w:styleId="1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9">
    <w:name w:val="正文 + 楷体_GB2312"/>
    <w:basedOn w:val="1"/>
    <w:qFormat/>
    <w:uiPriority w:val="0"/>
    <w:pPr>
      <w:widowControl/>
      <w:jc w:val="left"/>
    </w:pPr>
    <w:rPr>
      <w:rFonts w:ascii="楷体_GB2312" w:eastAsia="楷体_GB2312" w:cs="Arial"/>
      <w:kern w:val="0"/>
      <w:sz w:val="24"/>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1">
    <w:name w:val="1 Char Char Char Char"/>
    <w:basedOn w:val="1"/>
    <w:qFormat/>
    <w:uiPriority w:val="0"/>
    <w:rPr>
      <w:rFonts w:ascii="Tahoma" w:hAnsi="Tahoma"/>
      <w:sz w:val="24"/>
      <w:szCs w:val="20"/>
    </w:rPr>
  </w:style>
  <w:style w:type="paragraph" w:customStyle="1" w:styleId="16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3">
    <w:name w:val="列出段落1"/>
    <w:basedOn w:val="1"/>
    <w:qFormat/>
    <w:uiPriority w:val="0"/>
    <w:pPr>
      <w:ind w:firstLine="420" w:firstLineChars="200"/>
    </w:pPr>
    <w:rPr>
      <w:rFonts w:ascii="Calibri" w:hAnsi="Calibri"/>
      <w:szCs w:val="22"/>
    </w:rPr>
  </w:style>
  <w:style w:type="paragraph" w:customStyle="1" w:styleId="16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字元 字元1"/>
    <w:basedOn w:val="1"/>
    <w:qFormat/>
    <w:uiPriority w:val="0"/>
    <w:rPr>
      <w:rFonts w:ascii="Tahoma" w:hAnsi="Tahoma"/>
      <w:sz w:val="24"/>
      <w:szCs w:val="20"/>
    </w:rPr>
  </w:style>
  <w:style w:type="paragraph" w:customStyle="1" w:styleId="166">
    <w:name w:val="_Style 160"/>
    <w:qFormat/>
    <w:uiPriority w:val="0"/>
    <w:rPr>
      <w:rFonts w:ascii="Times New Roman" w:hAnsi="Times New Roman" w:eastAsia="宋体" w:cs="Times New Roman"/>
      <w:kern w:val="2"/>
      <w:sz w:val="21"/>
      <w:szCs w:val="24"/>
      <w:lang w:val="en-US" w:eastAsia="zh-CN" w:bidi="ar-SA"/>
    </w:rPr>
  </w:style>
  <w:style w:type="paragraph" w:customStyle="1" w:styleId="167">
    <w:name w:val="项目编号3"/>
    <w:basedOn w:val="127"/>
    <w:qFormat/>
    <w:uiPriority w:val="0"/>
    <w:pPr>
      <w:numPr>
        <w:ilvl w:val="0"/>
        <w:numId w:val="6"/>
      </w:numPr>
    </w:pPr>
  </w:style>
  <w:style w:type="paragraph" w:customStyle="1" w:styleId="168">
    <w:name w:val="Char21"/>
    <w:basedOn w:val="1"/>
    <w:qFormat/>
    <w:uiPriority w:val="0"/>
    <w:rPr>
      <w:rFonts w:ascii="Tahoma" w:hAnsi="Tahoma"/>
      <w:sz w:val="24"/>
      <w:szCs w:val="20"/>
    </w:rPr>
  </w:style>
  <w:style w:type="paragraph" w:customStyle="1" w:styleId="169">
    <w:name w:val="表格文字"/>
    <w:basedOn w:val="23"/>
    <w:qFormat/>
    <w:uiPriority w:val="0"/>
    <w:pPr>
      <w:spacing w:before="20" w:after="20" w:line="240" w:lineRule="auto"/>
      <w:ind w:firstLine="0"/>
    </w:pPr>
    <w:rPr>
      <w:rFonts w:ascii="Century Gothic" w:hAnsi="Century Gothic"/>
      <w:sz w:val="20"/>
      <w:szCs w:val="20"/>
    </w:rPr>
  </w:style>
  <w:style w:type="paragraph" w:customStyle="1" w:styleId="170">
    <w:name w:val="Char Char Char Char Char Char Char Char Char Char1"/>
    <w:basedOn w:val="1"/>
    <w:qFormat/>
    <w:uiPriority w:val="0"/>
    <w:rPr>
      <w:rFonts w:ascii="宋体" w:hAnsi="宋体" w:cs="Courier New"/>
      <w:sz w:val="32"/>
      <w:szCs w:val="32"/>
    </w:rPr>
  </w:style>
  <w:style w:type="paragraph" w:customStyle="1" w:styleId="171">
    <w:name w:val="正文文本样式 加粗"/>
    <w:basedOn w:val="127"/>
    <w:qFormat/>
    <w:uiPriority w:val="0"/>
    <w:rPr>
      <w:b/>
    </w:rPr>
  </w:style>
  <w:style w:type="paragraph" w:customStyle="1" w:styleId="172">
    <w:name w:val="Char2 Char Char Char Char Char Char"/>
    <w:basedOn w:val="1"/>
    <w:qFormat/>
    <w:uiPriority w:val="0"/>
    <w:pPr>
      <w:widowControl/>
      <w:spacing w:line="400" w:lineRule="exact"/>
      <w:jc w:val="center"/>
    </w:pPr>
  </w:style>
  <w:style w:type="character" w:customStyle="1" w:styleId="173">
    <w:name w:val="页脚 字符"/>
    <w:link w:val="33"/>
    <w:qFormat/>
    <w:uiPriority w:val="99"/>
    <w:rPr>
      <w:rFonts w:ascii="宋体" w:eastAsia="宋体"/>
      <w:sz w:val="18"/>
      <w:lang w:val="en-US" w:eastAsia="zh-CN" w:bidi="ar-SA"/>
    </w:rPr>
  </w:style>
  <w:style w:type="paragraph" w:customStyle="1" w:styleId="174">
    <w:name w:val="Char Char4"/>
    <w:basedOn w:val="1"/>
    <w:qFormat/>
    <w:uiPriority w:val="0"/>
    <w:pPr>
      <w:widowControl/>
      <w:spacing w:line="400" w:lineRule="exact"/>
      <w:jc w:val="center"/>
    </w:pPr>
  </w:style>
  <w:style w:type="paragraph" w:customStyle="1" w:styleId="175">
    <w:name w:val="Char3 Char Char Char1"/>
    <w:basedOn w:val="1"/>
    <w:qFormat/>
    <w:uiPriority w:val="0"/>
    <w:rPr>
      <w:rFonts w:ascii="Tahoma" w:hAnsi="Tahoma"/>
      <w:sz w:val="24"/>
      <w:szCs w:val="20"/>
    </w:rPr>
  </w:style>
  <w:style w:type="paragraph" w:styleId="17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8">
    <w:name w:val="中等深浅网格 1 - 强调文字颜色 2 Char"/>
    <w:link w:val="179"/>
    <w:qFormat/>
    <w:uiPriority w:val="0"/>
    <w:rPr>
      <w:kern w:val="2"/>
      <w:sz w:val="21"/>
      <w:szCs w:val="24"/>
      <w:lang w:val="zh-CN" w:eastAsia="zh-CN"/>
    </w:rPr>
  </w:style>
  <w:style w:type="paragraph" w:customStyle="1" w:styleId="179">
    <w:name w:val="1"/>
    <w:link w:val="178"/>
    <w:qFormat/>
    <w:uiPriority w:val="0"/>
    <w:rPr>
      <w:rFonts w:ascii="Times New Roman" w:hAnsi="Times New Roman" w:eastAsia="宋体" w:cs="Times New Roman"/>
      <w:kern w:val="2"/>
      <w:sz w:val="21"/>
      <w:szCs w:val="24"/>
      <w:lang w:val="zh-CN" w:eastAsia="zh-CN" w:bidi="ar-SA"/>
    </w:rPr>
  </w:style>
  <w:style w:type="paragraph" w:customStyle="1" w:styleId="180">
    <w:name w:val="图文"/>
    <w:basedOn w:val="1"/>
    <w:qFormat/>
    <w:uiPriority w:val="0"/>
    <w:pPr>
      <w:adjustRightInd w:val="0"/>
      <w:snapToGrid w:val="0"/>
      <w:spacing w:after="50" w:line="360" w:lineRule="auto"/>
    </w:pPr>
    <w:rPr>
      <w:sz w:val="24"/>
    </w:rPr>
  </w:style>
  <w:style w:type="paragraph" w:customStyle="1" w:styleId="18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2">
    <w:name w:val="正文表格"/>
    <w:basedOn w:val="1"/>
    <w:link w:val="183"/>
    <w:qFormat/>
    <w:uiPriority w:val="0"/>
    <w:pPr>
      <w:adjustRightInd w:val="0"/>
      <w:snapToGrid w:val="0"/>
      <w:jc w:val="left"/>
    </w:pPr>
    <w:rPr>
      <w:rFonts w:ascii="宋体" w:hAnsi="宋体"/>
      <w:color w:val="000000"/>
      <w:szCs w:val="21"/>
    </w:rPr>
  </w:style>
  <w:style w:type="character" w:customStyle="1" w:styleId="183">
    <w:name w:val="正文表格 Char"/>
    <w:link w:val="182"/>
    <w:qFormat/>
    <w:uiPriority w:val="0"/>
    <w:rPr>
      <w:rFonts w:ascii="宋体" w:hAnsi="宋体"/>
      <w:color w:val="000000"/>
      <w:kern w:val="2"/>
      <w:sz w:val="21"/>
      <w:szCs w:val="21"/>
    </w:rPr>
  </w:style>
  <w:style w:type="paragraph" w:customStyle="1" w:styleId="184">
    <w:name w:val="正文重点"/>
    <w:basedOn w:val="1"/>
    <w:link w:val="185"/>
    <w:qFormat/>
    <w:uiPriority w:val="0"/>
    <w:pPr>
      <w:adjustRightInd w:val="0"/>
      <w:spacing w:line="360" w:lineRule="auto"/>
      <w:ind w:firstLine="482" w:firstLineChars="200"/>
      <w:jc w:val="left"/>
      <w:textAlignment w:val="baseline"/>
    </w:pPr>
    <w:rPr>
      <w:b/>
      <w:kern w:val="0"/>
      <w:sz w:val="24"/>
      <w:szCs w:val="20"/>
    </w:rPr>
  </w:style>
  <w:style w:type="character" w:customStyle="1" w:styleId="185">
    <w:name w:val="正文重点 Char"/>
    <w:link w:val="184"/>
    <w:qFormat/>
    <w:uiPriority w:val="0"/>
    <w:rPr>
      <w:b/>
      <w:sz w:val="24"/>
    </w:rPr>
  </w:style>
  <w:style w:type="character" w:customStyle="1" w:styleId="186">
    <w:name w:val="批注文字 字符1"/>
    <w:link w:val="20"/>
    <w:qFormat/>
    <w:uiPriority w:val="99"/>
    <w:rPr>
      <w:kern w:val="2"/>
      <w:sz w:val="21"/>
      <w:szCs w:val="24"/>
    </w:rPr>
  </w:style>
  <w:style w:type="paragraph" w:customStyle="1" w:styleId="187">
    <w:name w:val="标题1-附件"/>
    <w:basedOn w:val="7"/>
    <w:qFormat/>
    <w:uiPriority w:val="0"/>
    <w:pPr>
      <w:jc w:val="left"/>
    </w:pPr>
    <w:rPr>
      <w:sz w:val="24"/>
      <w:szCs w:val="24"/>
    </w:rPr>
  </w:style>
  <w:style w:type="paragraph" w:customStyle="1" w:styleId="188">
    <w:name w:val="正文小标题"/>
    <w:basedOn w:val="1"/>
    <w:next w:val="9"/>
    <w:link w:val="1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9">
    <w:name w:val="正文小标题 Char"/>
    <w:link w:val="188"/>
    <w:qFormat/>
    <w:uiPriority w:val="0"/>
    <w:rPr>
      <w:rFonts w:ascii="宋体" w:hAnsi="宋体"/>
      <w:b/>
      <w:i/>
      <w:color w:val="FF0000"/>
      <w:kern w:val="2"/>
      <w:sz w:val="24"/>
    </w:rPr>
  </w:style>
  <w:style w:type="paragraph" w:customStyle="1" w:styleId="190">
    <w:name w:val="正文大标题"/>
    <w:basedOn w:val="188"/>
    <w:next w:val="9"/>
    <w:link w:val="191"/>
    <w:qFormat/>
    <w:uiPriority w:val="0"/>
    <w:pPr>
      <w:jc w:val="center"/>
    </w:pPr>
    <w:rPr>
      <w:i w:val="0"/>
      <w:color w:val="000000"/>
      <w:sz w:val="28"/>
      <w:szCs w:val="21"/>
    </w:rPr>
  </w:style>
  <w:style w:type="character" w:customStyle="1" w:styleId="191">
    <w:name w:val="正文大标题 Char"/>
    <w:link w:val="190"/>
    <w:qFormat/>
    <w:uiPriority w:val="0"/>
    <w:rPr>
      <w:rFonts w:ascii="宋体" w:hAnsi="宋体"/>
      <w:b/>
      <w:color w:val="000000"/>
      <w:kern w:val="2"/>
      <w:sz w:val="28"/>
      <w:szCs w:val="21"/>
    </w:rPr>
  </w:style>
  <w:style w:type="character" w:customStyle="1" w:styleId="192">
    <w:name w:val="标题 字符"/>
    <w:link w:val="44"/>
    <w:qFormat/>
    <w:uiPriority w:val="0"/>
    <w:rPr>
      <w:b/>
      <w:kern w:val="2"/>
      <w:sz w:val="32"/>
    </w:rPr>
  </w:style>
  <w:style w:type="paragraph" w:customStyle="1" w:styleId="193">
    <w:name w:val="注释"/>
    <w:basedOn w:val="1"/>
    <w:link w:val="194"/>
    <w:qFormat/>
    <w:uiPriority w:val="0"/>
    <w:pPr>
      <w:adjustRightInd w:val="0"/>
      <w:snapToGrid w:val="0"/>
      <w:ind w:left="420" w:hanging="420" w:hangingChars="200"/>
      <w:jc w:val="left"/>
    </w:pPr>
    <w:rPr>
      <w:rFonts w:ascii="宋体" w:hAnsi="宋体"/>
      <w:szCs w:val="21"/>
    </w:rPr>
  </w:style>
  <w:style w:type="character" w:customStyle="1" w:styleId="194">
    <w:name w:val="注释 Char"/>
    <w:link w:val="193"/>
    <w:qFormat/>
    <w:uiPriority w:val="0"/>
    <w:rPr>
      <w:rFonts w:ascii="宋体" w:hAnsi="宋体"/>
      <w:kern w:val="2"/>
      <w:sz w:val="21"/>
      <w:szCs w:val="21"/>
    </w:rPr>
  </w:style>
  <w:style w:type="paragraph" w:customStyle="1" w:styleId="19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8">
    <w:name w:val="批注文字 字符"/>
    <w:qFormat/>
    <w:uiPriority w:val="99"/>
    <w:rPr>
      <w:rFonts w:ascii="Times New Roman" w:hAnsi="Times New Roman" w:eastAsia="宋体" w:cs="Times New Roman"/>
      <w:sz w:val="24"/>
      <w:lang w:val="en-US" w:eastAsia="zh-CN" w:bidi="ar-SA"/>
    </w:rPr>
  </w:style>
  <w:style w:type="character" w:customStyle="1" w:styleId="199">
    <w:name w:val="纯文本 字符"/>
    <w:qFormat/>
    <w:uiPriority w:val="99"/>
    <w:rPr>
      <w:rFonts w:ascii="宋体" w:hAnsi="Courier New" w:eastAsia="宋体" w:cs="Times New Roman"/>
      <w:kern w:val="2"/>
      <w:sz w:val="21"/>
      <w:szCs w:val="21"/>
      <w:lang w:val="en-US" w:eastAsia="zh-CN" w:bidi="ar-SA"/>
    </w:rPr>
  </w:style>
  <w:style w:type="paragraph" w:customStyle="1" w:styleId="200">
    <w:name w:val="表格1"/>
    <w:basedOn w:val="1"/>
    <w:qFormat/>
    <w:uiPriority w:val="0"/>
    <w:pPr>
      <w:ind w:firstLine="480" w:firstLineChars="200"/>
      <w:jc w:val="center"/>
    </w:pPr>
    <w:rPr>
      <w:sz w:val="24"/>
      <w:szCs w:val="20"/>
    </w:rPr>
  </w:style>
  <w:style w:type="character" w:customStyle="1" w:styleId="201">
    <w:name w:val="纯文本 字符1"/>
    <w:qFormat/>
    <w:uiPriority w:val="0"/>
    <w:rPr>
      <w:rFonts w:ascii="宋体" w:hAnsi="Courier New"/>
    </w:rPr>
  </w:style>
  <w:style w:type="character" w:customStyle="1" w:styleId="202">
    <w:name w:val="bjh-p"/>
    <w:qFormat/>
    <w:uiPriority w:val="0"/>
  </w:style>
  <w:style w:type="paragraph" w:customStyle="1" w:styleId="203">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4">
    <w:name w:val="正文格式 Char"/>
    <w:link w:val="205"/>
    <w:qFormat/>
    <w:locked/>
    <w:uiPriority w:val="0"/>
    <w:rPr>
      <w:rFonts w:ascii="宋体" w:hAnsi="宋体"/>
      <w:sz w:val="24"/>
      <w:szCs w:val="24"/>
      <w:lang w:val="en-GB"/>
    </w:rPr>
  </w:style>
  <w:style w:type="paragraph" w:customStyle="1" w:styleId="205">
    <w:name w:val="正文格式"/>
    <w:basedOn w:val="1"/>
    <w:link w:val="204"/>
    <w:qFormat/>
    <w:uiPriority w:val="0"/>
    <w:pPr>
      <w:spacing w:beforeLines="50" w:line="360" w:lineRule="auto"/>
      <w:ind w:firstLine="480" w:firstLineChars="200"/>
    </w:pPr>
    <w:rPr>
      <w:rFonts w:ascii="宋体" w:hAnsi="宋体"/>
      <w:kern w:val="0"/>
      <w:sz w:val="24"/>
      <w:lang w:val="en-GB"/>
    </w:rPr>
  </w:style>
  <w:style w:type="character" w:customStyle="1" w:styleId="206">
    <w:name w:val="纯文本 字符2"/>
    <w:basedOn w:val="50"/>
    <w:link w:val="28"/>
    <w:qFormat/>
    <w:uiPriority w:val="0"/>
    <w:rPr>
      <w:rFonts w:hint="eastAsia" w:ascii="宋体" w:hAnsi="Courier New" w:eastAsia="宋体" w:cs="宋体"/>
      <w:kern w:val="2"/>
      <w:sz w:val="21"/>
    </w:rPr>
  </w:style>
  <w:style w:type="character" w:customStyle="1" w:styleId="207">
    <w:name w:val="标题 3 Char"/>
    <w:qFormat/>
    <w:uiPriority w:val="0"/>
    <w:rPr>
      <w:rFonts w:ascii="宋体" w:eastAsia="宋体"/>
      <w:b/>
      <w:sz w:val="24"/>
      <w:u w:val="single"/>
      <w:lang w:val="en-US" w:eastAsia="zh-CN" w:bidi="ar-SA"/>
    </w:rPr>
  </w:style>
  <w:style w:type="character" w:customStyle="1" w:styleId="208">
    <w:name w:val="正文缩进 Char"/>
    <w:qFormat/>
    <w:uiPriority w:val="0"/>
    <w:rPr>
      <w:rFonts w:ascii="宋体" w:eastAsia="宋体"/>
      <w:kern w:val="2"/>
      <w:sz w:val="24"/>
      <w:szCs w:val="24"/>
      <w:lang w:val="en-US" w:eastAsia="zh-CN" w:bidi="ar-SA"/>
    </w:rPr>
  </w:style>
  <w:style w:type="character" w:customStyle="1" w:styleId="209">
    <w:name w:val="Char Char111"/>
    <w:qFormat/>
    <w:uiPriority w:val="0"/>
    <w:rPr>
      <w:rFonts w:ascii="宋体" w:eastAsia="宋体"/>
      <w:b/>
      <w:sz w:val="24"/>
      <w:u w:val="single"/>
      <w:lang w:val="en-US" w:eastAsia="zh-CN" w:bidi="ar-SA"/>
    </w:rPr>
  </w:style>
  <w:style w:type="character" w:customStyle="1" w:styleId="210">
    <w:name w:val="正文文本缩进 Char"/>
    <w:qFormat/>
    <w:uiPriority w:val="0"/>
    <w:rPr>
      <w:rFonts w:eastAsia="宋体"/>
      <w:kern w:val="2"/>
      <w:sz w:val="24"/>
      <w:szCs w:val="24"/>
      <w:lang w:val="en-US" w:eastAsia="zh-CN" w:bidi="ar-SA"/>
    </w:rPr>
  </w:style>
  <w:style w:type="character" w:customStyle="1" w:styleId="211">
    <w:name w:val="列出段落 Char"/>
    <w:qFormat/>
    <w:uiPriority w:val="0"/>
    <w:rPr>
      <w:rFonts w:ascii="Calibri" w:hAnsi="Calibri" w:eastAsia="宋体"/>
      <w:kern w:val="2"/>
      <w:sz w:val="21"/>
      <w:szCs w:val="22"/>
      <w:lang w:val="en-US" w:eastAsia="zh-CN" w:bidi="ar-SA"/>
    </w:rPr>
  </w:style>
  <w:style w:type="character" w:customStyle="1" w:styleId="212">
    <w:name w:val="页眉 Char"/>
    <w:qFormat/>
    <w:uiPriority w:val="0"/>
    <w:rPr>
      <w:rFonts w:eastAsia="宋体"/>
      <w:kern w:val="2"/>
      <w:sz w:val="18"/>
      <w:szCs w:val="18"/>
      <w:lang w:val="en-US" w:eastAsia="zh-CN" w:bidi="ar-SA"/>
    </w:rPr>
  </w:style>
  <w:style w:type="character" w:customStyle="1" w:styleId="213">
    <w:name w:val="标题 2 Char"/>
    <w:qFormat/>
    <w:uiPriority w:val="0"/>
    <w:rPr>
      <w:rFonts w:ascii="Arial" w:hAnsi="Arial" w:eastAsia="黑体"/>
      <w:b/>
      <w:sz w:val="30"/>
      <w:lang w:val="en-US" w:eastAsia="zh-CN" w:bidi="ar-SA"/>
    </w:rPr>
  </w:style>
  <w:style w:type="paragraph" w:customStyle="1" w:styleId="214">
    <w:name w:val="字元 字元2"/>
    <w:basedOn w:val="1"/>
    <w:qFormat/>
    <w:uiPriority w:val="0"/>
    <w:rPr>
      <w:rFonts w:ascii="Tahoma" w:hAnsi="Tahoma"/>
      <w:sz w:val="24"/>
      <w:szCs w:val="20"/>
    </w:rPr>
  </w:style>
  <w:style w:type="paragraph" w:customStyle="1" w:styleId="215">
    <w:name w:val="Char3 Char Char Char2"/>
    <w:basedOn w:val="1"/>
    <w:qFormat/>
    <w:uiPriority w:val="0"/>
    <w:rPr>
      <w:rFonts w:ascii="Tahoma" w:hAnsi="Tahoma"/>
      <w:sz w:val="24"/>
      <w:szCs w:val="20"/>
    </w:rPr>
  </w:style>
  <w:style w:type="paragraph" w:customStyle="1" w:styleId="21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7">
    <w:name w:val="Char3"/>
    <w:basedOn w:val="1"/>
    <w:qFormat/>
    <w:uiPriority w:val="0"/>
    <w:pPr>
      <w:tabs>
        <w:tab w:val="left" w:pos="360"/>
      </w:tabs>
    </w:pPr>
    <w:rPr>
      <w:sz w:val="24"/>
    </w:rPr>
  </w:style>
  <w:style w:type="paragraph" w:customStyle="1" w:styleId="21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列出段落2"/>
    <w:basedOn w:val="1"/>
    <w:qFormat/>
    <w:uiPriority w:val="0"/>
    <w:pPr>
      <w:ind w:firstLine="420" w:firstLineChars="200"/>
    </w:pPr>
    <w:rPr>
      <w:rFonts w:ascii="Calibri" w:hAnsi="Calibri"/>
      <w:szCs w:val="22"/>
    </w:rPr>
  </w:style>
  <w:style w:type="paragraph" w:customStyle="1" w:styleId="221">
    <w:name w:val="Char Char Char1 Char2"/>
    <w:basedOn w:val="1"/>
    <w:qFormat/>
    <w:uiPriority w:val="0"/>
    <w:rPr>
      <w:rFonts w:ascii="Tahoma" w:hAnsi="Tahoma"/>
      <w:sz w:val="24"/>
      <w:szCs w:val="20"/>
    </w:rPr>
  </w:style>
  <w:style w:type="paragraph" w:customStyle="1" w:styleId="222">
    <w:name w:val="Char Char Char2"/>
    <w:basedOn w:val="1"/>
    <w:qFormat/>
    <w:uiPriority w:val="0"/>
    <w:rPr>
      <w:rFonts w:ascii="Tahoma" w:hAnsi="Tahoma"/>
      <w:sz w:val="24"/>
      <w:szCs w:val="20"/>
    </w:rPr>
  </w:style>
  <w:style w:type="paragraph" w:customStyle="1" w:styleId="22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5">
    <w:name w:val="修订1"/>
    <w:qFormat/>
    <w:uiPriority w:val="0"/>
    <w:rPr>
      <w:rFonts w:ascii="Times New Roman" w:hAnsi="Times New Roman" w:eastAsia="宋体" w:cs="Times New Roman"/>
      <w:kern w:val="2"/>
      <w:sz w:val="21"/>
      <w:szCs w:val="24"/>
      <w:lang w:val="en-US" w:eastAsia="zh-CN" w:bidi="ar-SA"/>
    </w:rPr>
  </w:style>
  <w:style w:type="paragraph" w:customStyle="1" w:styleId="226">
    <w:name w:val="Char22"/>
    <w:basedOn w:val="1"/>
    <w:qFormat/>
    <w:uiPriority w:val="0"/>
    <w:rPr>
      <w:rFonts w:ascii="Tahoma" w:hAnsi="Tahoma"/>
      <w:sz w:val="24"/>
      <w:szCs w:val="20"/>
    </w:rPr>
  </w:style>
  <w:style w:type="paragraph" w:customStyle="1" w:styleId="227">
    <w:name w:val="Char Char Char Char Char Char Char Char Char Char2"/>
    <w:basedOn w:val="1"/>
    <w:qFormat/>
    <w:uiPriority w:val="0"/>
    <w:rPr>
      <w:rFonts w:ascii="宋体" w:hAnsi="宋体" w:cs="Courier New"/>
      <w:sz w:val="32"/>
      <w:szCs w:val="32"/>
    </w:rPr>
  </w:style>
  <w:style w:type="paragraph" w:customStyle="1" w:styleId="228">
    <w:name w:val="Char2 Char Char Char Char Char Char1"/>
    <w:basedOn w:val="1"/>
    <w:qFormat/>
    <w:uiPriority w:val="0"/>
    <w:pPr>
      <w:widowControl/>
      <w:spacing w:line="400" w:lineRule="exact"/>
      <w:jc w:val="center"/>
    </w:pPr>
  </w:style>
  <w:style w:type="character" w:customStyle="1" w:styleId="229">
    <w:name w:val="页脚 Char"/>
    <w:qFormat/>
    <w:uiPriority w:val="0"/>
    <w:rPr>
      <w:rFonts w:ascii="宋体" w:eastAsia="宋体"/>
      <w:sz w:val="18"/>
      <w:lang w:val="en-US" w:eastAsia="zh-CN" w:bidi="ar-SA"/>
    </w:rPr>
  </w:style>
  <w:style w:type="paragraph" w:customStyle="1" w:styleId="230">
    <w:name w:val="Char Char41"/>
    <w:basedOn w:val="1"/>
    <w:qFormat/>
    <w:uiPriority w:val="0"/>
    <w:pPr>
      <w:widowControl/>
      <w:spacing w:line="400" w:lineRule="exact"/>
      <w:jc w:val="center"/>
    </w:pPr>
  </w:style>
  <w:style w:type="character" w:customStyle="1" w:styleId="231">
    <w:name w:val="批注文字 Char"/>
    <w:qFormat/>
    <w:uiPriority w:val="99"/>
    <w:rPr>
      <w:kern w:val="2"/>
      <w:sz w:val="21"/>
      <w:szCs w:val="24"/>
    </w:rPr>
  </w:style>
  <w:style w:type="character" w:customStyle="1" w:styleId="232">
    <w:name w:val="标题 Char"/>
    <w:qFormat/>
    <w:uiPriority w:val="0"/>
    <w:rPr>
      <w:b/>
      <w:kern w:val="2"/>
      <w:sz w:val="32"/>
    </w:rPr>
  </w:style>
  <w:style w:type="character" w:customStyle="1" w:styleId="233">
    <w:name w:val="标题 1 字符"/>
    <w:basedOn w:val="50"/>
    <w:link w:val="7"/>
    <w:qFormat/>
    <w:uiPriority w:val="0"/>
    <w:rPr>
      <w:rFonts w:ascii="宋体"/>
      <w:b/>
      <w:kern w:val="44"/>
      <w:sz w:val="32"/>
    </w:rPr>
  </w:style>
  <w:style w:type="character" w:customStyle="1" w:styleId="234">
    <w:name w:val="标题 4 字符"/>
    <w:basedOn w:val="50"/>
    <w:link w:val="11"/>
    <w:qFormat/>
    <w:uiPriority w:val="0"/>
    <w:rPr>
      <w:rFonts w:ascii="Arial" w:hAnsi="Arial" w:eastAsia="黑体"/>
      <w:b/>
      <w:sz w:val="28"/>
    </w:rPr>
  </w:style>
  <w:style w:type="character" w:customStyle="1" w:styleId="235">
    <w:name w:val="标题 5 字符"/>
    <w:basedOn w:val="50"/>
    <w:link w:val="12"/>
    <w:qFormat/>
    <w:uiPriority w:val="0"/>
    <w:rPr>
      <w:b/>
      <w:sz w:val="28"/>
    </w:rPr>
  </w:style>
  <w:style w:type="character" w:customStyle="1" w:styleId="236">
    <w:name w:val="标题 6 字符"/>
    <w:basedOn w:val="50"/>
    <w:link w:val="13"/>
    <w:qFormat/>
    <w:uiPriority w:val="0"/>
    <w:rPr>
      <w:rFonts w:ascii="Arial" w:hAnsi="Arial" w:eastAsia="黑体"/>
      <w:b/>
      <w:sz w:val="24"/>
    </w:rPr>
  </w:style>
  <w:style w:type="character" w:customStyle="1" w:styleId="237">
    <w:name w:val="标题 7 字符"/>
    <w:basedOn w:val="50"/>
    <w:link w:val="14"/>
    <w:qFormat/>
    <w:uiPriority w:val="0"/>
    <w:rPr>
      <w:b/>
      <w:sz w:val="24"/>
    </w:rPr>
  </w:style>
  <w:style w:type="character" w:customStyle="1" w:styleId="238">
    <w:name w:val="标题 8 字符"/>
    <w:basedOn w:val="50"/>
    <w:link w:val="15"/>
    <w:qFormat/>
    <w:uiPriority w:val="0"/>
    <w:rPr>
      <w:rFonts w:ascii="Arial" w:hAnsi="Arial" w:eastAsia="黑体"/>
      <w:sz w:val="24"/>
    </w:rPr>
  </w:style>
  <w:style w:type="character" w:customStyle="1" w:styleId="239">
    <w:name w:val="标题 9 字符"/>
    <w:basedOn w:val="50"/>
    <w:link w:val="16"/>
    <w:qFormat/>
    <w:uiPriority w:val="0"/>
    <w:rPr>
      <w:rFonts w:ascii="Arial" w:hAnsi="Arial" w:eastAsia="黑体"/>
      <w:sz w:val="21"/>
    </w:rPr>
  </w:style>
  <w:style w:type="character" w:customStyle="1" w:styleId="240">
    <w:name w:val="文档结构图 字符"/>
    <w:basedOn w:val="50"/>
    <w:link w:val="19"/>
    <w:qFormat/>
    <w:uiPriority w:val="0"/>
    <w:rPr>
      <w:kern w:val="2"/>
      <w:sz w:val="21"/>
      <w:szCs w:val="24"/>
      <w:shd w:val="clear" w:color="auto" w:fill="000080"/>
    </w:rPr>
  </w:style>
  <w:style w:type="character" w:customStyle="1" w:styleId="241">
    <w:name w:val="正文文本 3 字符"/>
    <w:basedOn w:val="50"/>
    <w:link w:val="21"/>
    <w:qFormat/>
    <w:uiPriority w:val="0"/>
    <w:rPr>
      <w:kern w:val="2"/>
      <w:sz w:val="16"/>
      <w:szCs w:val="16"/>
    </w:rPr>
  </w:style>
  <w:style w:type="character" w:customStyle="1" w:styleId="242">
    <w:name w:val="正文文本 字符"/>
    <w:basedOn w:val="50"/>
    <w:link w:val="22"/>
    <w:qFormat/>
    <w:uiPriority w:val="0"/>
    <w:rPr>
      <w:rFonts w:ascii="宋体" w:hAnsi="宋体"/>
      <w:kern w:val="2"/>
      <w:sz w:val="24"/>
      <w:szCs w:val="24"/>
    </w:rPr>
  </w:style>
  <w:style w:type="character" w:customStyle="1" w:styleId="243">
    <w:name w:val="日期 字符"/>
    <w:basedOn w:val="50"/>
    <w:link w:val="30"/>
    <w:qFormat/>
    <w:uiPriority w:val="0"/>
    <w:rPr>
      <w:rFonts w:ascii="仿宋_GB2312" w:hAnsi="宋体" w:eastAsia="仿宋_GB2312"/>
      <w:color w:val="000000"/>
      <w:kern w:val="2"/>
      <w:sz w:val="24"/>
      <w:szCs w:val="24"/>
    </w:rPr>
  </w:style>
  <w:style w:type="character" w:customStyle="1" w:styleId="244">
    <w:name w:val="正文文本缩进 2 字符"/>
    <w:basedOn w:val="50"/>
    <w:link w:val="31"/>
    <w:qFormat/>
    <w:uiPriority w:val="0"/>
    <w:rPr>
      <w:rFonts w:ascii="仿宋_GB2312" w:eastAsia="仿宋_GB2312"/>
      <w:kern w:val="2"/>
      <w:sz w:val="24"/>
      <w:szCs w:val="24"/>
    </w:rPr>
  </w:style>
  <w:style w:type="character" w:customStyle="1" w:styleId="245">
    <w:name w:val="批注框文本 字符"/>
    <w:basedOn w:val="50"/>
    <w:link w:val="32"/>
    <w:qFormat/>
    <w:uiPriority w:val="0"/>
    <w:rPr>
      <w:kern w:val="2"/>
      <w:sz w:val="18"/>
      <w:szCs w:val="18"/>
    </w:rPr>
  </w:style>
  <w:style w:type="character" w:customStyle="1" w:styleId="246">
    <w:name w:val="正文文本缩进 3 字符"/>
    <w:basedOn w:val="50"/>
    <w:link w:val="38"/>
    <w:qFormat/>
    <w:uiPriority w:val="0"/>
    <w:rPr>
      <w:rFonts w:ascii="宋体"/>
      <w:sz w:val="24"/>
    </w:rPr>
  </w:style>
  <w:style w:type="character" w:customStyle="1" w:styleId="247">
    <w:name w:val="HTML 预设格式 字符"/>
    <w:basedOn w:val="50"/>
    <w:link w:val="41"/>
    <w:qFormat/>
    <w:uiPriority w:val="0"/>
    <w:rPr>
      <w:rFonts w:ascii="宋体" w:hAnsi="宋体" w:cs="宋体"/>
      <w:sz w:val="24"/>
      <w:szCs w:val="24"/>
    </w:rPr>
  </w:style>
  <w:style w:type="character" w:customStyle="1" w:styleId="248">
    <w:name w:val="批注主题 字符"/>
    <w:basedOn w:val="198"/>
    <w:link w:val="45"/>
    <w:qFormat/>
    <w:uiPriority w:val="0"/>
    <w:rPr>
      <w:rFonts w:ascii="Times New Roman" w:hAnsi="Times New Roman" w:eastAsia="宋体" w:cs="Times New Roman"/>
      <w:b/>
      <w:bCs/>
      <w:kern w:val="2"/>
      <w:sz w:val="21"/>
      <w:szCs w:val="24"/>
      <w:lang w:val="en-US" w:eastAsia="zh-CN" w:bidi="ar-SA"/>
    </w:rPr>
  </w:style>
  <w:style w:type="character" w:customStyle="1" w:styleId="249">
    <w:name w:val="正文文本首行缩进 2 字符"/>
    <w:basedOn w:val="71"/>
    <w:link w:val="46"/>
    <w:qFormat/>
    <w:uiPriority w:val="0"/>
    <w:rPr>
      <w:rFonts w:eastAsia="宋体"/>
      <w:kern w:val="2"/>
      <w:sz w:val="24"/>
      <w:szCs w:val="24"/>
      <w:lang w:val="en-US" w:eastAsia="zh-CN" w:bidi="ar-SA"/>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2">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53">
    <w:name w:val="未处理的提及1"/>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50</Pages>
  <Words>20441</Words>
  <Characters>21647</Characters>
  <Lines>175</Lines>
  <Paragraphs>49</Paragraphs>
  <TotalTime>1</TotalTime>
  <ScaleCrop>false</ScaleCrop>
  <LinksUpToDate>false</LinksUpToDate>
  <CharactersWithSpaces>22092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2022-03-29T02:53:00Z</dcterms:created>
  <dc:creator>Yin Hao</dc:creator>
  <cp:lastModifiedBy>王林</cp:lastModifiedBy>
  <cp:lastPrinted>2022-10-21T08:29:00Z</cp:lastPrinted>
  <dcterms:modified xsi:type="dcterms:W3CDTF">2023-04-01T02:40:28Z</dcterms:modified>
  <dc:title>02年杜范本稿</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550490DEE2274D0EBFF82134F27FC76C</vt:lpwstr>
  </property>
</Properties>
</file>